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6FF09" w14:textId="77777777" w:rsidR="00A70391" w:rsidRPr="002F0018" w:rsidRDefault="00A70391" w:rsidP="00A70391">
      <w:pPr>
        <w:spacing w:after="120" w:line="360" w:lineRule="auto"/>
        <w:jc w:val="center"/>
        <w:rPr>
          <w:rFonts w:asciiTheme="majorHAnsi" w:hAnsiTheme="majorHAnsi"/>
          <w:b/>
          <w:sz w:val="22"/>
          <w:szCs w:val="22"/>
        </w:rPr>
      </w:pPr>
      <w:r w:rsidRPr="002F0018">
        <w:rPr>
          <w:rFonts w:asciiTheme="majorHAnsi" w:hAnsiTheme="majorHAnsi"/>
          <w:b/>
          <w:sz w:val="22"/>
          <w:szCs w:val="22"/>
        </w:rPr>
        <w:t>ANOTAÇÕES SOBRE RESPONSABILIDADE CIVIL E PENAL – ARTIGOS E JURISPRUDÊNCIA</w:t>
      </w:r>
    </w:p>
    <w:p w14:paraId="1042ED7D" w14:textId="77777777" w:rsidR="00A70391" w:rsidRPr="002F0018" w:rsidRDefault="002F0018" w:rsidP="002F0018">
      <w:pPr>
        <w:spacing w:after="120"/>
        <w:jc w:val="both"/>
        <w:rPr>
          <w:rFonts w:asciiTheme="majorHAnsi" w:hAnsiTheme="majorHAnsi"/>
          <w:b/>
          <w:sz w:val="18"/>
          <w:szCs w:val="18"/>
        </w:rPr>
      </w:pPr>
      <w:proofErr w:type="spellStart"/>
      <w:r w:rsidRPr="002F0018">
        <w:rPr>
          <w:rFonts w:asciiTheme="majorHAnsi" w:hAnsiTheme="majorHAnsi"/>
          <w:b/>
          <w:sz w:val="18"/>
          <w:szCs w:val="18"/>
        </w:rPr>
        <w:t>Cleomedes</w:t>
      </w:r>
      <w:proofErr w:type="spellEnd"/>
      <w:r w:rsidRPr="002F0018">
        <w:rPr>
          <w:rFonts w:asciiTheme="majorHAnsi" w:hAnsiTheme="majorHAnsi"/>
          <w:b/>
          <w:sz w:val="18"/>
          <w:szCs w:val="18"/>
        </w:rPr>
        <w:t xml:space="preserve"> Vilar de Vasconcelos</w:t>
      </w:r>
    </w:p>
    <w:p w14:paraId="729D997E" w14:textId="77777777" w:rsidR="002F0018" w:rsidRPr="002F0018" w:rsidRDefault="002F0018" w:rsidP="002F0018">
      <w:pPr>
        <w:spacing w:after="120"/>
        <w:jc w:val="both"/>
        <w:rPr>
          <w:rFonts w:asciiTheme="majorHAnsi" w:hAnsiTheme="majorHAnsi"/>
          <w:b/>
          <w:sz w:val="18"/>
          <w:szCs w:val="18"/>
        </w:rPr>
      </w:pPr>
      <w:r w:rsidRPr="002F0018">
        <w:rPr>
          <w:rFonts w:asciiTheme="majorHAnsi" w:hAnsiTheme="majorHAnsi"/>
          <w:b/>
          <w:sz w:val="18"/>
          <w:szCs w:val="18"/>
        </w:rPr>
        <w:t>Advogado Associado de Franco Advogados Associados</w:t>
      </w:r>
    </w:p>
    <w:p w14:paraId="231662BF" w14:textId="77777777" w:rsidR="002F0018" w:rsidRDefault="002F0018" w:rsidP="008C5E2C">
      <w:pPr>
        <w:spacing w:after="240" w:line="360" w:lineRule="auto"/>
        <w:ind w:firstLine="2268"/>
        <w:jc w:val="both"/>
        <w:rPr>
          <w:rFonts w:asciiTheme="majorHAnsi" w:hAnsiTheme="majorHAnsi"/>
          <w:sz w:val="22"/>
          <w:szCs w:val="22"/>
        </w:rPr>
      </w:pPr>
    </w:p>
    <w:p w14:paraId="246F9891" w14:textId="46C6A4AD" w:rsidR="00685CBD" w:rsidRPr="00DE1B27" w:rsidRDefault="00685CBD" w:rsidP="00685CBD">
      <w:pPr>
        <w:spacing w:after="240" w:line="360" w:lineRule="auto"/>
        <w:jc w:val="center"/>
        <w:rPr>
          <w:rFonts w:asciiTheme="majorHAnsi" w:hAnsiTheme="majorHAnsi"/>
          <w:b/>
          <w:sz w:val="22"/>
          <w:szCs w:val="22"/>
        </w:rPr>
      </w:pPr>
      <w:r w:rsidRPr="00DE1B27">
        <w:rPr>
          <w:rFonts w:asciiTheme="majorHAnsi" w:hAnsiTheme="majorHAnsi"/>
          <w:b/>
          <w:sz w:val="22"/>
          <w:szCs w:val="22"/>
        </w:rPr>
        <w:t>I – INTRODUÇÃO</w:t>
      </w:r>
    </w:p>
    <w:p w14:paraId="2CD7097D" w14:textId="2AAA2B99" w:rsidR="002F0018" w:rsidRDefault="002F0018" w:rsidP="002F0018">
      <w:pPr>
        <w:spacing w:after="240" w:line="360" w:lineRule="auto"/>
        <w:jc w:val="both"/>
        <w:rPr>
          <w:rFonts w:asciiTheme="majorHAnsi" w:hAnsiTheme="majorHAnsi"/>
          <w:sz w:val="22"/>
          <w:szCs w:val="22"/>
        </w:rPr>
      </w:pPr>
      <w:r>
        <w:rPr>
          <w:rFonts w:asciiTheme="majorHAnsi" w:hAnsiTheme="majorHAnsi"/>
          <w:sz w:val="22"/>
          <w:szCs w:val="22"/>
        </w:rPr>
        <w:t>A presente matéria foi escrita com o propósito de evidenciar os riscos que as empresas assumem por omissão ao deixar de exigir de terceiros aos quais por qualquer mo</w:t>
      </w:r>
      <w:r w:rsidR="00623D9A">
        <w:rPr>
          <w:rFonts w:asciiTheme="majorHAnsi" w:hAnsiTheme="majorHAnsi"/>
          <w:sz w:val="22"/>
          <w:szCs w:val="22"/>
        </w:rPr>
        <w:t>do estejam relacionada</w:t>
      </w:r>
      <w:r>
        <w:rPr>
          <w:rFonts w:asciiTheme="majorHAnsi" w:hAnsiTheme="majorHAnsi"/>
          <w:sz w:val="22"/>
          <w:szCs w:val="22"/>
        </w:rPr>
        <w:t xml:space="preserve">s, o cumprimento de obrigações que a estes compitam. Vamos dar um exemplo bem ilustrativo: os shoppings centers tem sua administração própria, a qual se ocupa, dentre outras, com o relacionamento entre o centro de compras e os lojistas. Os instrumentos jurídicos desses centros de compra, dentre eles o Regulamento Interno – ou qualquer outro, não importa sua denominação </w:t>
      </w:r>
      <w:r>
        <w:rPr>
          <w:rFonts w:asciiTheme="majorHAnsi" w:hAnsiTheme="majorHAnsi"/>
          <w:sz w:val="22"/>
          <w:szCs w:val="22"/>
        </w:rPr>
        <w:t>–</w:t>
      </w:r>
      <w:r>
        <w:rPr>
          <w:rFonts w:asciiTheme="majorHAnsi" w:hAnsiTheme="majorHAnsi"/>
          <w:sz w:val="22"/>
          <w:szCs w:val="22"/>
        </w:rPr>
        <w:t xml:space="preserve"> na maioria das vezes preveem exigências de segurança que os lojistas devem cumprir as quais, uma vez inobservadas, resultam na obrigação da própria administração do shopping de prover aquela pendência, cujos custos são ressarcidos pelo lojista inadimplente com aquela obrigação, notadamente envolvendo aspectos de segurança, por exemplo, verificação e limpeza dos sistemas de exaustão como meio absolutamente incontornável de prevenção contra incêndio. </w:t>
      </w:r>
    </w:p>
    <w:p w14:paraId="5093BA8E" w14:textId="48B453A7" w:rsidR="002F0018" w:rsidRDefault="002F0018" w:rsidP="002F0018">
      <w:pPr>
        <w:spacing w:after="240" w:line="360" w:lineRule="auto"/>
        <w:jc w:val="both"/>
        <w:rPr>
          <w:rFonts w:asciiTheme="majorHAnsi" w:hAnsiTheme="majorHAnsi"/>
          <w:sz w:val="22"/>
          <w:szCs w:val="22"/>
        </w:rPr>
      </w:pPr>
      <w:r>
        <w:rPr>
          <w:rFonts w:asciiTheme="majorHAnsi" w:hAnsiTheme="majorHAnsi"/>
          <w:sz w:val="22"/>
          <w:szCs w:val="22"/>
        </w:rPr>
        <w:t>O que se observa na prática é que os lojistas descumprem aquela obrigação que lhes competem e a administração dos shoppings relevam tal falta. Ou seja, nem mandam fazer o serviço e cobram do lojista inadimplente, tampouco interdita</w:t>
      </w:r>
      <w:r w:rsidR="002209F5">
        <w:rPr>
          <w:rFonts w:asciiTheme="majorHAnsi" w:hAnsiTheme="majorHAnsi"/>
          <w:sz w:val="22"/>
          <w:szCs w:val="22"/>
        </w:rPr>
        <w:t>m</w:t>
      </w:r>
      <w:r>
        <w:rPr>
          <w:rFonts w:asciiTheme="majorHAnsi" w:hAnsiTheme="majorHAnsi"/>
          <w:sz w:val="22"/>
          <w:szCs w:val="22"/>
        </w:rPr>
        <w:t xml:space="preserve"> a loja ou exige</w:t>
      </w:r>
      <w:r w:rsidR="002209F5">
        <w:rPr>
          <w:rFonts w:asciiTheme="majorHAnsi" w:hAnsiTheme="majorHAnsi"/>
          <w:sz w:val="22"/>
          <w:szCs w:val="22"/>
        </w:rPr>
        <w:t>m,</w:t>
      </w:r>
      <w:r>
        <w:rPr>
          <w:rFonts w:asciiTheme="majorHAnsi" w:hAnsiTheme="majorHAnsi"/>
          <w:sz w:val="22"/>
          <w:szCs w:val="22"/>
        </w:rPr>
        <w:t xml:space="preserve"> sob pena de multa diária, o adequado cumprimento de tal obrigação. Resultado é que em muitas praças de alimentação ocorrem incêndios. Num único shopping muito famoso de São </w:t>
      </w:r>
      <w:r>
        <w:rPr>
          <w:rFonts w:asciiTheme="majorHAnsi" w:hAnsiTheme="majorHAnsi"/>
          <w:sz w:val="22"/>
          <w:szCs w:val="22"/>
        </w:rPr>
        <w:lastRenderedPageBreak/>
        <w:t>Paulo, só nos últimos 3 ou 4 meses de 2015 ocorreram 3 incêndios, ou princípio de, cuja divulgação é abafada na imprensa, obviamente a custos elevadíssimos.</w:t>
      </w:r>
      <w:r w:rsidR="00A35546">
        <w:rPr>
          <w:rFonts w:asciiTheme="majorHAnsi" w:hAnsiTheme="majorHAnsi"/>
          <w:sz w:val="22"/>
          <w:szCs w:val="22"/>
        </w:rPr>
        <w:t xml:space="preserve"> Sabemos do caso de um shopping que, dada a gravidade dos sistemas de exaustão da cozinha profissional instalada em suas dependências, tinha a obrigação legal </w:t>
      </w:r>
      <w:r w:rsidR="00A35546">
        <w:rPr>
          <w:rFonts w:asciiTheme="majorHAnsi" w:hAnsiTheme="majorHAnsi"/>
          <w:sz w:val="22"/>
          <w:szCs w:val="22"/>
        </w:rPr>
        <w:t>–</w:t>
      </w:r>
      <w:r w:rsidR="00A35546">
        <w:rPr>
          <w:rFonts w:asciiTheme="majorHAnsi" w:hAnsiTheme="majorHAnsi"/>
          <w:sz w:val="22"/>
          <w:szCs w:val="22"/>
        </w:rPr>
        <w:t xml:space="preserve"> ainda mais porque amparada em autorização contratual </w:t>
      </w:r>
      <w:r w:rsidR="00A35546">
        <w:rPr>
          <w:rFonts w:asciiTheme="majorHAnsi" w:hAnsiTheme="majorHAnsi"/>
          <w:sz w:val="22"/>
          <w:szCs w:val="22"/>
        </w:rPr>
        <w:t>–</w:t>
      </w:r>
      <w:r w:rsidR="00A35546">
        <w:rPr>
          <w:rFonts w:asciiTheme="majorHAnsi" w:hAnsiTheme="majorHAnsi"/>
          <w:sz w:val="22"/>
          <w:szCs w:val="22"/>
        </w:rPr>
        <w:t xml:space="preserve"> de interditar o estabelecimento do lojista faltoso, mas deixou de assim proceder por pura conveniência</w:t>
      </w:r>
      <w:r w:rsidR="002209F5">
        <w:rPr>
          <w:rFonts w:asciiTheme="majorHAnsi" w:hAnsiTheme="majorHAnsi"/>
          <w:sz w:val="22"/>
          <w:szCs w:val="22"/>
        </w:rPr>
        <w:t xml:space="preserve"> ou, pior, tibieza</w:t>
      </w:r>
      <w:r w:rsidR="00A35546">
        <w:rPr>
          <w:rFonts w:asciiTheme="majorHAnsi" w:hAnsiTheme="majorHAnsi"/>
          <w:sz w:val="22"/>
          <w:szCs w:val="22"/>
        </w:rPr>
        <w:t>. A isto a lei denomina “omissão”.</w:t>
      </w:r>
    </w:p>
    <w:p w14:paraId="4E68B1A0" w14:textId="05A5EA9F" w:rsidR="002F0018" w:rsidRDefault="002F0018" w:rsidP="002F0018">
      <w:pPr>
        <w:spacing w:after="240" w:line="360" w:lineRule="auto"/>
        <w:jc w:val="both"/>
        <w:rPr>
          <w:rFonts w:asciiTheme="majorHAnsi" w:hAnsiTheme="majorHAnsi"/>
          <w:sz w:val="22"/>
          <w:szCs w:val="22"/>
        </w:rPr>
      </w:pPr>
      <w:r>
        <w:rPr>
          <w:rFonts w:asciiTheme="majorHAnsi" w:hAnsiTheme="majorHAnsi"/>
          <w:sz w:val="22"/>
          <w:szCs w:val="22"/>
        </w:rPr>
        <w:t>Portanto, tem-se aí, nesse exemplo, omissão da administração do shopping, juntamente com o próprio lojista, pelo que respondem ambos, solidariamente</w:t>
      </w:r>
      <w:r w:rsidR="008015B9">
        <w:rPr>
          <w:rFonts w:asciiTheme="majorHAnsi" w:hAnsiTheme="majorHAnsi"/>
          <w:sz w:val="22"/>
          <w:szCs w:val="22"/>
        </w:rPr>
        <w:t>,</w:t>
      </w:r>
      <w:r>
        <w:rPr>
          <w:rFonts w:asciiTheme="majorHAnsi" w:hAnsiTheme="majorHAnsi"/>
          <w:sz w:val="22"/>
          <w:szCs w:val="22"/>
        </w:rPr>
        <w:t xml:space="preserve"> no campo civil</w:t>
      </w:r>
      <w:r w:rsidR="00A35546">
        <w:rPr>
          <w:rFonts w:asciiTheme="majorHAnsi" w:hAnsiTheme="majorHAnsi"/>
          <w:sz w:val="22"/>
          <w:szCs w:val="22"/>
        </w:rPr>
        <w:t xml:space="preserve"> (Código de Defesa do Consumidor e Código Civil)</w:t>
      </w:r>
      <w:r>
        <w:rPr>
          <w:rFonts w:asciiTheme="majorHAnsi" w:hAnsiTheme="majorHAnsi"/>
          <w:sz w:val="22"/>
          <w:szCs w:val="22"/>
        </w:rPr>
        <w:t>, inclusive no penal</w:t>
      </w:r>
      <w:r w:rsidR="00A35546">
        <w:rPr>
          <w:rFonts w:asciiTheme="majorHAnsi" w:hAnsiTheme="majorHAnsi"/>
          <w:sz w:val="22"/>
          <w:szCs w:val="22"/>
        </w:rPr>
        <w:t>, com penas graduadas em razão do resultado (Código Penal)</w:t>
      </w:r>
      <w:r>
        <w:rPr>
          <w:rFonts w:asciiTheme="majorHAnsi" w:hAnsiTheme="majorHAnsi"/>
          <w:sz w:val="22"/>
          <w:szCs w:val="22"/>
        </w:rPr>
        <w:t>.</w:t>
      </w:r>
    </w:p>
    <w:p w14:paraId="21733160" w14:textId="0ECD678B" w:rsidR="002F0018" w:rsidRDefault="00A35546" w:rsidP="002F0018">
      <w:pPr>
        <w:spacing w:after="240" w:line="360" w:lineRule="auto"/>
        <w:jc w:val="both"/>
        <w:rPr>
          <w:rFonts w:asciiTheme="majorHAnsi" w:hAnsiTheme="majorHAnsi"/>
          <w:sz w:val="22"/>
          <w:szCs w:val="22"/>
        </w:rPr>
      </w:pPr>
      <w:r>
        <w:rPr>
          <w:rFonts w:asciiTheme="majorHAnsi" w:hAnsiTheme="majorHAnsi"/>
          <w:sz w:val="22"/>
          <w:szCs w:val="22"/>
        </w:rPr>
        <w:t xml:space="preserve">Dentre as </w:t>
      </w:r>
      <w:r w:rsidR="002F0018">
        <w:rPr>
          <w:rFonts w:asciiTheme="majorHAnsi" w:hAnsiTheme="majorHAnsi"/>
          <w:sz w:val="22"/>
          <w:szCs w:val="22"/>
        </w:rPr>
        <w:t xml:space="preserve">jurisprudências, a seguir, </w:t>
      </w:r>
      <w:r>
        <w:rPr>
          <w:rFonts w:asciiTheme="majorHAnsi" w:hAnsiTheme="majorHAnsi"/>
          <w:sz w:val="22"/>
          <w:szCs w:val="22"/>
        </w:rPr>
        <w:t>há</w:t>
      </w:r>
      <w:r w:rsidR="002F0018">
        <w:rPr>
          <w:rFonts w:asciiTheme="majorHAnsi" w:hAnsiTheme="majorHAnsi"/>
          <w:sz w:val="22"/>
          <w:szCs w:val="22"/>
        </w:rPr>
        <w:t xml:space="preserve"> o caso da responsabilidade </w:t>
      </w:r>
      <w:r w:rsidR="008015B9">
        <w:rPr>
          <w:rFonts w:asciiTheme="majorHAnsi" w:hAnsiTheme="majorHAnsi"/>
          <w:sz w:val="22"/>
          <w:szCs w:val="22"/>
        </w:rPr>
        <w:t>imputada a</w:t>
      </w:r>
      <w:r w:rsidR="002F0018">
        <w:rPr>
          <w:rFonts w:asciiTheme="majorHAnsi" w:hAnsiTheme="majorHAnsi"/>
          <w:sz w:val="22"/>
          <w:szCs w:val="22"/>
        </w:rPr>
        <w:t xml:space="preserve">o </w:t>
      </w:r>
      <w:r w:rsidR="008015B9">
        <w:rPr>
          <w:rFonts w:asciiTheme="majorHAnsi" w:hAnsiTheme="majorHAnsi"/>
          <w:sz w:val="22"/>
          <w:szCs w:val="22"/>
        </w:rPr>
        <w:t xml:space="preserve">Shopping </w:t>
      </w:r>
      <w:r w:rsidR="002F0018">
        <w:rPr>
          <w:rFonts w:asciiTheme="majorHAnsi" w:hAnsiTheme="majorHAnsi"/>
          <w:sz w:val="22"/>
          <w:szCs w:val="22"/>
        </w:rPr>
        <w:t xml:space="preserve">25 de </w:t>
      </w:r>
      <w:r w:rsidR="008015B9">
        <w:rPr>
          <w:rFonts w:asciiTheme="majorHAnsi" w:hAnsiTheme="majorHAnsi"/>
          <w:sz w:val="22"/>
          <w:szCs w:val="22"/>
        </w:rPr>
        <w:t>Março</w:t>
      </w:r>
      <w:r w:rsidR="002F0018">
        <w:rPr>
          <w:rFonts w:asciiTheme="majorHAnsi" w:hAnsiTheme="majorHAnsi"/>
          <w:sz w:val="22"/>
          <w:szCs w:val="22"/>
        </w:rPr>
        <w:t xml:space="preserve">, em São Paulo, por autorizar a venda de produtos ilegais em suas dependências. Caso nacionalmente conhecido que resultou em incêndio na </w:t>
      </w:r>
      <w:proofErr w:type="spellStart"/>
      <w:r w:rsidR="002F0018">
        <w:rPr>
          <w:rFonts w:asciiTheme="majorHAnsi" w:hAnsiTheme="majorHAnsi"/>
          <w:sz w:val="22"/>
          <w:szCs w:val="22"/>
        </w:rPr>
        <w:t>boite</w:t>
      </w:r>
      <w:proofErr w:type="spellEnd"/>
      <w:r w:rsidR="002F0018">
        <w:rPr>
          <w:rFonts w:asciiTheme="majorHAnsi" w:hAnsiTheme="majorHAnsi"/>
          <w:sz w:val="22"/>
          <w:szCs w:val="22"/>
        </w:rPr>
        <w:t xml:space="preserve"> Kiss em Santa Maria (RS) matando mais de 240 pessoas revela bem o grau de responsabilidade penal que se espraia por toda a cadeia de envolvidos. N</w:t>
      </w:r>
      <w:r w:rsidR="008015B9">
        <w:rPr>
          <w:rFonts w:asciiTheme="majorHAnsi" w:hAnsiTheme="majorHAnsi"/>
          <w:sz w:val="22"/>
          <w:szCs w:val="22"/>
        </w:rPr>
        <w:t>aquele caso</w:t>
      </w:r>
      <w:r w:rsidR="002F0018">
        <w:rPr>
          <w:rFonts w:asciiTheme="majorHAnsi" w:hAnsiTheme="majorHAnsi"/>
          <w:sz w:val="22"/>
          <w:szCs w:val="22"/>
        </w:rPr>
        <w:t xml:space="preserve"> </w:t>
      </w:r>
      <w:r>
        <w:rPr>
          <w:rFonts w:asciiTheme="majorHAnsi" w:hAnsiTheme="majorHAnsi"/>
          <w:sz w:val="22"/>
          <w:szCs w:val="22"/>
        </w:rPr>
        <w:t>estão respondendo</w:t>
      </w:r>
      <w:r w:rsidR="002F0018">
        <w:rPr>
          <w:rFonts w:asciiTheme="majorHAnsi" w:hAnsiTheme="majorHAnsi"/>
          <w:sz w:val="22"/>
          <w:szCs w:val="22"/>
        </w:rPr>
        <w:t xml:space="preserve"> criminalmente </w:t>
      </w:r>
      <w:r>
        <w:rPr>
          <w:rFonts w:asciiTheme="majorHAnsi" w:hAnsiTheme="majorHAnsi"/>
          <w:sz w:val="22"/>
          <w:szCs w:val="22"/>
        </w:rPr>
        <w:t xml:space="preserve">o </w:t>
      </w:r>
      <w:r w:rsidR="002F0018">
        <w:rPr>
          <w:rFonts w:asciiTheme="majorHAnsi" w:hAnsiTheme="majorHAnsi"/>
          <w:sz w:val="22"/>
          <w:szCs w:val="22"/>
        </w:rPr>
        <w:t xml:space="preserve">oficial do Corpo de Bombeiros que deveria ter fiscalizado, o gerente da </w:t>
      </w:r>
      <w:proofErr w:type="spellStart"/>
      <w:r w:rsidR="002F0018">
        <w:rPr>
          <w:rFonts w:asciiTheme="majorHAnsi" w:hAnsiTheme="majorHAnsi"/>
          <w:sz w:val="22"/>
          <w:szCs w:val="22"/>
        </w:rPr>
        <w:t>boite</w:t>
      </w:r>
      <w:proofErr w:type="spellEnd"/>
      <w:r w:rsidR="002F0018">
        <w:rPr>
          <w:rFonts w:asciiTheme="majorHAnsi" w:hAnsiTheme="majorHAnsi"/>
          <w:sz w:val="22"/>
          <w:szCs w:val="22"/>
        </w:rPr>
        <w:t xml:space="preserve"> e os cantores. Até agora, ao que sabemos, apenas a Prefeitura teve no Superior Tribunal de Justiça (STJ) sua responsabilidade afastada, cujo desfecho poderá vir a ser ainda eventualmente alterado se a disputa for levada ao Supremo Tribunal Federal (STF).</w:t>
      </w:r>
    </w:p>
    <w:p w14:paraId="5B39F914" w14:textId="1F33AC11" w:rsidR="002F0018" w:rsidRDefault="0075451A" w:rsidP="002F0018">
      <w:pPr>
        <w:spacing w:after="240" w:line="360" w:lineRule="auto"/>
        <w:jc w:val="both"/>
        <w:rPr>
          <w:rFonts w:asciiTheme="majorHAnsi" w:hAnsiTheme="majorHAnsi"/>
          <w:sz w:val="22"/>
          <w:szCs w:val="22"/>
        </w:rPr>
      </w:pPr>
      <w:r>
        <w:rPr>
          <w:rFonts w:asciiTheme="majorHAnsi" w:hAnsiTheme="majorHAnsi"/>
          <w:sz w:val="22"/>
          <w:szCs w:val="22"/>
        </w:rPr>
        <w:t>Se o leitor entendeu</w:t>
      </w:r>
      <w:r w:rsidR="002F0018">
        <w:rPr>
          <w:rFonts w:asciiTheme="majorHAnsi" w:hAnsiTheme="majorHAnsi"/>
          <w:sz w:val="22"/>
          <w:szCs w:val="22"/>
        </w:rPr>
        <w:t xml:space="preserve"> a lógica </w:t>
      </w:r>
      <w:r>
        <w:rPr>
          <w:rFonts w:asciiTheme="majorHAnsi" w:hAnsiTheme="majorHAnsi"/>
          <w:sz w:val="22"/>
          <w:szCs w:val="22"/>
        </w:rPr>
        <w:t>na qual se assenta o que</w:t>
      </w:r>
      <w:r w:rsidR="002F0018">
        <w:rPr>
          <w:rFonts w:asciiTheme="majorHAnsi" w:hAnsiTheme="majorHAnsi"/>
          <w:sz w:val="22"/>
          <w:szCs w:val="22"/>
        </w:rPr>
        <w:t xml:space="preserve"> foi até aqui exposto, poderá extrapolar </w:t>
      </w:r>
      <w:r w:rsidR="00A35546">
        <w:rPr>
          <w:rFonts w:asciiTheme="majorHAnsi" w:hAnsiTheme="majorHAnsi"/>
          <w:sz w:val="22"/>
          <w:szCs w:val="22"/>
        </w:rPr>
        <w:t xml:space="preserve">esse entendimento sobre </w:t>
      </w:r>
      <w:r w:rsidR="002F0018">
        <w:rPr>
          <w:rFonts w:asciiTheme="majorHAnsi" w:hAnsiTheme="majorHAnsi"/>
          <w:sz w:val="22"/>
          <w:szCs w:val="22"/>
        </w:rPr>
        <w:t xml:space="preserve">a difusão </w:t>
      </w:r>
      <w:r>
        <w:rPr>
          <w:rFonts w:asciiTheme="majorHAnsi" w:hAnsiTheme="majorHAnsi"/>
          <w:sz w:val="22"/>
          <w:szCs w:val="22"/>
        </w:rPr>
        <w:t xml:space="preserve">e alcance </w:t>
      </w:r>
      <w:r w:rsidR="002F0018">
        <w:rPr>
          <w:rFonts w:asciiTheme="majorHAnsi" w:hAnsiTheme="majorHAnsi"/>
          <w:sz w:val="22"/>
          <w:szCs w:val="22"/>
        </w:rPr>
        <w:t>d</w:t>
      </w:r>
      <w:r>
        <w:rPr>
          <w:rFonts w:asciiTheme="majorHAnsi" w:hAnsiTheme="majorHAnsi"/>
          <w:sz w:val="22"/>
          <w:szCs w:val="22"/>
        </w:rPr>
        <w:t>as</w:t>
      </w:r>
      <w:r w:rsidR="002F0018">
        <w:rPr>
          <w:rFonts w:asciiTheme="majorHAnsi" w:hAnsiTheme="majorHAnsi"/>
          <w:sz w:val="22"/>
          <w:szCs w:val="22"/>
        </w:rPr>
        <w:t xml:space="preserve"> responsabilidade</w:t>
      </w:r>
      <w:r w:rsidR="00A35546">
        <w:rPr>
          <w:rFonts w:asciiTheme="majorHAnsi" w:hAnsiTheme="majorHAnsi"/>
          <w:sz w:val="22"/>
          <w:szCs w:val="22"/>
        </w:rPr>
        <w:t>s</w:t>
      </w:r>
      <w:r w:rsidR="002F0018">
        <w:rPr>
          <w:rFonts w:asciiTheme="majorHAnsi" w:hAnsiTheme="majorHAnsi"/>
          <w:sz w:val="22"/>
          <w:szCs w:val="22"/>
        </w:rPr>
        <w:t xml:space="preserve"> para qualquer outro caso. O importante é entender a lógica da lei. Feito isto, acautelar-se. Muitos preferem que o tempo resolva </w:t>
      </w:r>
      <w:r w:rsidR="00A35546">
        <w:rPr>
          <w:rFonts w:asciiTheme="majorHAnsi" w:hAnsiTheme="majorHAnsi"/>
          <w:sz w:val="22"/>
          <w:szCs w:val="22"/>
        </w:rPr>
        <w:t>por si só</w:t>
      </w:r>
      <w:r w:rsidR="00A35546">
        <w:rPr>
          <w:rFonts w:asciiTheme="majorHAnsi" w:hAnsiTheme="majorHAnsi"/>
          <w:sz w:val="22"/>
          <w:szCs w:val="22"/>
        </w:rPr>
        <w:t xml:space="preserve"> </w:t>
      </w:r>
      <w:r w:rsidR="002F0018">
        <w:rPr>
          <w:rFonts w:asciiTheme="majorHAnsi" w:hAnsiTheme="majorHAnsi"/>
          <w:sz w:val="22"/>
          <w:szCs w:val="22"/>
        </w:rPr>
        <w:t xml:space="preserve">as pendências. Pior escolha. </w:t>
      </w:r>
      <w:r>
        <w:rPr>
          <w:rFonts w:asciiTheme="majorHAnsi" w:hAnsiTheme="majorHAnsi"/>
          <w:sz w:val="22"/>
          <w:szCs w:val="22"/>
        </w:rPr>
        <w:t xml:space="preserve">Isto não é cautela. </w:t>
      </w:r>
      <w:r w:rsidR="002F0018">
        <w:rPr>
          <w:rFonts w:asciiTheme="majorHAnsi" w:hAnsiTheme="majorHAnsi"/>
          <w:sz w:val="22"/>
          <w:szCs w:val="22"/>
        </w:rPr>
        <w:t xml:space="preserve">A omissão </w:t>
      </w:r>
      <w:r w:rsidR="002F0018">
        <w:rPr>
          <w:rFonts w:asciiTheme="majorHAnsi" w:hAnsiTheme="majorHAnsi"/>
          <w:sz w:val="22"/>
          <w:szCs w:val="22"/>
        </w:rPr>
        <w:t>–</w:t>
      </w:r>
      <w:r w:rsidR="002F0018">
        <w:rPr>
          <w:rFonts w:asciiTheme="majorHAnsi" w:hAnsiTheme="majorHAnsi"/>
          <w:sz w:val="22"/>
          <w:szCs w:val="22"/>
        </w:rPr>
        <w:t xml:space="preserve"> este é o nome que se dá a essa opção </w:t>
      </w:r>
      <w:r w:rsidR="002F0018">
        <w:rPr>
          <w:rFonts w:asciiTheme="majorHAnsi" w:hAnsiTheme="majorHAnsi"/>
          <w:sz w:val="22"/>
          <w:szCs w:val="22"/>
        </w:rPr>
        <w:t>–</w:t>
      </w:r>
      <w:r w:rsidR="002F0018">
        <w:rPr>
          <w:rFonts w:asciiTheme="majorHAnsi" w:hAnsiTheme="majorHAnsi"/>
          <w:sz w:val="22"/>
          <w:szCs w:val="22"/>
        </w:rPr>
        <w:t xml:space="preserve"> cobra seu preço quando dela resultam danos materiais ou imateriais (psicológicos</w:t>
      </w:r>
      <w:r w:rsidR="00A35546">
        <w:rPr>
          <w:rFonts w:asciiTheme="majorHAnsi" w:hAnsiTheme="majorHAnsi"/>
          <w:sz w:val="22"/>
          <w:szCs w:val="22"/>
        </w:rPr>
        <w:t xml:space="preserve"> inclusive</w:t>
      </w:r>
      <w:r w:rsidR="002F0018">
        <w:rPr>
          <w:rFonts w:asciiTheme="majorHAnsi" w:hAnsiTheme="majorHAnsi"/>
          <w:sz w:val="22"/>
          <w:szCs w:val="22"/>
        </w:rPr>
        <w:t>), lesão corporal ou morte. No plano civil e também no penal.</w:t>
      </w:r>
    </w:p>
    <w:p w14:paraId="4DA8548B" w14:textId="17EB1603" w:rsidR="00685CBD" w:rsidRPr="00DE1B27" w:rsidRDefault="00685CBD" w:rsidP="00685CBD">
      <w:pPr>
        <w:spacing w:after="240" w:line="360" w:lineRule="auto"/>
        <w:jc w:val="center"/>
        <w:rPr>
          <w:rFonts w:asciiTheme="majorHAnsi" w:hAnsiTheme="majorHAnsi"/>
          <w:b/>
          <w:sz w:val="22"/>
          <w:szCs w:val="22"/>
        </w:rPr>
      </w:pPr>
      <w:r w:rsidRPr="00DE1B27">
        <w:rPr>
          <w:rFonts w:asciiTheme="majorHAnsi" w:hAnsiTheme="majorHAnsi"/>
          <w:b/>
          <w:sz w:val="22"/>
          <w:szCs w:val="22"/>
        </w:rPr>
        <w:t>II – POSICIONAMENTO DA LEI E DA JURISPRUDÊNCIA DO SUPERIOR TRIBUNAL DE JUSTIÇA (STJ)</w:t>
      </w:r>
    </w:p>
    <w:p w14:paraId="30B82AA3" w14:textId="08E4A4F8" w:rsidR="00685CBD" w:rsidRPr="00DE1B27" w:rsidRDefault="00685CBD" w:rsidP="00685CBD">
      <w:pPr>
        <w:spacing w:after="240" w:line="360" w:lineRule="auto"/>
        <w:jc w:val="center"/>
        <w:rPr>
          <w:rFonts w:asciiTheme="majorHAnsi" w:hAnsiTheme="majorHAnsi"/>
          <w:b/>
          <w:sz w:val="22"/>
          <w:szCs w:val="22"/>
        </w:rPr>
      </w:pPr>
      <w:r w:rsidRPr="00DE1B27">
        <w:rPr>
          <w:rFonts w:asciiTheme="majorHAnsi" w:hAnsiTheme="majorHAnsi"/>
          <w:b/>
          <w:sz w:val="22"/>
          <w:szCs w:val="22"/>
        </w:rPr>
        <w:t>A – NO CAMPO CIVIL (PATRIMONIAL)</w:t>
      </w:r>
    </w:p>
    <w:p w14:paraId="5A155FDD" w14:textId="77777777" w:rsidR="004E1640" w:rsidRPr="002F0018" w:rsidRDefault="00A70391" w:rsidP="002F0018">
      <w:pPr>
        <w:spacing w:after="240" w:line="360" w:lineRule="auto"/>
        <w:jc w:val="both"/>
        <w:rPr>
          <w:rFonts w:asciiTheme="majorHAnsi" w:hAnsiTheme="majorHAnsi"/>
          <w:sz w:val="22"/>
          <w:szCs w:val="22"/>
        </w:rPr>
      </w:pPr>
      <w:r w:rsidRPr="002F0018">
        <w:rPr>
          <w:rFonts w:asciiTheme="majorHAnsi" w:hAnsiTheme="majorHAnsi"/>
          <w:sz w:val="22"/>
          <w:szCs w:val="22"/>
        </w:rPr>
        <w:t xml:space="preserve">Quanto à responsabilidade civil, </w:t>
      </w:r>
      <w:r w:rsidR="008A17B7" w:rsidRPr="002F0018">
        <w:rPr>
          <w:rFonts w:asciiTheme="majorHAnsi" w:hAnsiTheme="majorHAnsi"/>
          <w:sz w:val="22"/>
          <w:szCs w:val="22"/>
        </w:rPr>
        <w:t xml:space="preserve">inicialmente tem-se a definição de </w:t>
      </w:r>
      <w:r w:rsidR="008A17B7" w:rsidRPr="002F0018">
        <w:rPr>
          <w:rFonts w:asciiTheme="majorHAnsi" w:hAnsiTheme="majorHAnsi"/>
          <w:b/>
          <w:sz w:val="22"/>
          <w:szCs w:val="22"/>
        </w:rPr>
        <w:t>ato ilícito</w:t>
      </w:r>
      <w:r w:rsidR="008A17B7" w:rsidRPr="002F0018">
        <w:rPr>
          <w:rFonts w:asciiTheme="majorHAnsi" w:hAnsiTheme="majorHAnsi"/>
          <w:sz w:val="22"/>
          <w:szCs w:val="22"/>
        </w:rPr>
        <w:t>, de acordo com o Código Civil</w:t>
      </w:r>
      <w:r w:rsidRPr="002F0018">
        <w:rPr>
          <w:rFonts w:asciiTheme="majorHAnsi" w:hAnsiTheme="majorHAnsi"/>
          <w:sz w:val="22"/>
          <w:szCs w:val="22"/>
        </w:rPr>
        <w:t>:</w:t>
      </w:r>
    </w:p>
    <w:p w14:paraId="010B74D6" w14:textId="77777777" w:rsidR="00A70391" w:rsidRPr="0075451A" w:rsidRDefault="007531C9" w:rsidP="00A35546">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lastRenderedPageBreak/>
        <w:t>“</w:t>
      </w:r>
      <w:r w:rsidR="00A70391" w:rsidRPr="0075451A">
        <w:rPr>
          <w:rFonts w:asciiTheme="majorHAnsi" w:hAnsiTheme="majorHAnsi" w:cs="Arial"/>
          <w:color w:val="000000"/>
          <w:sz w:val="18"/>
          <w:szCs w:val="18"/>
        </w:rPr>
        <w:t>Art. 186. Aquele que, por ação ou omissão voluntária, negligência ou imprudência, violar direito e causar dano a outrem, ainda que exclusivamente moral, comete ato ilícito.</w:t>
      </w:r>
    </w:p>
    <w:p w14:paraId="2F8DD729" w14:textId="0906C0A4" w:rsidR="00A70391" w:rsidRPr="0075451A" w:rsidRDefault="00A70391" w:rsidP="00A35546">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Art. 187. Também comete ato ilícito o titular de um direito que, ao exercê-lo, excede manifestamente os limites impostos pelo seu fim econômico ou social, pela boa-fé ou pelos bons costumes.</w:t>
      </w:r>
      <w:r w:rsidR="007531C9" w:rsidRPr="0075451A">
        <w:rPr>
          <w:rFonts w:asciiTheme="majorHAnsi" w:hAnsiTheme="majorHAnsi" w:cs="Arial"/>
          <w:color w:val="000000"/>
          <w:sz w:val="18"/>
          <w:szCs w:val="18"/>
        </w:rPr>
        <w:t>”</w:t>
      </w:r>
      <w:r w:rsidR="00D22752">
        <w:rPr>
          <w:rFonts w:asciiTheme="majorHAnsi" w:hAnsiTheme="majorHAnsi" w:cs="Arial"/>
          <w:color w:val="000000"/>
          <w:sz w:val="18"/>
          <w:szCs w:val="18"/>
        </w:rPr>
        <w:t xml:space="preserve"> </w:t>
      </w:r>
      <w:r w:rsidR="00D22752">
        <w:rPr>
          <w:rStyle w:val="FootnoteReference"/>
          <w:rFonts w:asciiTheme="majorHAnsi" w:hAnsiTheme="majorHAnsi" w:cs="Arial"/>
          <w:color w:val="000000"/>
          <w:sz w:val="18"/>
          <w:szCs w:val="18"/>
        </w:rPr>
        <w:footnoteReference w:id="1"/>
      </w:r>
    </w:p>
    <w:p w14:paraId="6F841A2F" w14:textId="77777777" w:rsidR="00A70391" w:rsidRPr="002F0018" w:rsidRDefault="00A70391" w:rsidP="00A70391">
      <w:pPr>
        <w:spacing w:after="120"/>
        <w:ind w:left="2268"/>
        <w:jc w:val="both"/>
        <w:rPr>
          <w:rFonts w:asciiTheme="majorHAnsi" w:hAnsiTheme="majorHAnsi"/>
          <w:sz w:val="22"/>
          <w:szCs w:val="22"/>
        </w:rPr>
      </w:pPr>
    </w:p>
    <w:p w14:paraId="39ED5DB2" w14:textId="0FC074DA" w:rsidR="00A70391" w:rsidRPr="002F0018" w:rsidRDefault="00A70391" w:rsidP="002F0018">
      <w:pPr>
        <w:spacing w:after="240" w:line="360" w:lineRule="auto"/>
        <w:jc w:val="both"/>
        <w:rPr>
          <w:rFonts w:asciiTheme="majorHAnsi" w:hAnsiTheme="majorHAnsi"/>
          <w:sz w:val="22"/>
          <w:szCs w:val="22"/>
        </w:rPr>
      </w:pPr>
      <w:r w:rsidRPr="002F0018">
        <w:rPr>
          <w:rFonts w:asciiTheme="majorHAnsi" w:hAnsiTheme="majorHAnsi"/>
          <w:sz w:val="22"/>
          <w:szCs w:val="22"/>
        </w:rPr>
        <w:t>De acordo com jurisprudência do STJ</w:t>
      </w:r>
      <w:r w:rsidR="0075451A">
        <w:rPr>
          <w:rFonts w:asciiTheme="majorHAnsi" w:hAnsiTheme="majorHAnsi"/>
          <w:sz w:val="22"/>
          <w:szCs w:val="22"/>
        </w:rPr>
        <w:t>,</w:t>
      </w:r>
      <w:r w:rsidR="0080758F" w:rsidRPr="002F0018">
        <w:rPr>
          <w:rFonts w:asciiTheme="majorHAnsi" w:hAnsiTheme="majorHAnsi"/>
          <w:sz w:val="22"/>
          <w:szCs w:val="22"/>
        </w:rPr>
        <w:t xml:space="preserve"> abaixo</w:t>
      </w:r>
      <w:r w:rsidRPr="002F0018">
        <w:rPr>
          <w:rFonts w:asciiTheme="majorHAnsi" w:hAnsiTheme="majorHAnsi"/>
          <w:sz w:val="22"/>
          <w:szCs w:val="22"/>
        </w:rPr>
        <w:t xml:space="preserve">, </w:t>
      </w:r>
      <w:r w:rsidR="0080758F" w:rsidRPr="002F0018">
        <w:rPr>
          <w:rFonts w:asciiTheme="majorHAnsi" w:hAnsiTheme="majorHAnsi"/>
          <w:sz w:val="22"/>
          <w:szCs w:val="22"/>
        </w:rPr>
        <w:t xml:space="preserve">no caso </w:t>
      </w:r>
      <w:r w:rsidR="00D22752">
        <w:rPr>
          <w:rFonts w:asciiTheme="majorHAnsi" w:hAnsiTheme="majorHAnsi"/>
          <w:sz w:val="22"/>
          <w:szCs w:val="22"/>
        </w:rPr>
        <w:t>envolvendo o Shopping 25 de Março</w:t>
      </w:r>
      <w:r w:rsidR="0080758F" w:rsidRPr="002F0018">
        <w:rPr>
          <w:rFonts w:asciiTheme="majorHAnsi" w:hAnsiTheme="majorHAnsi"/>
          <w:sz w:val="22"/>
          <w:szCs w:val="22"/>
        </w:rPr>
        <w:t xml:space="preserve">, o entendimento foi </w:t>
      </w:r>
      <w:r w:rsidR="00D22752">
        <w:rPr>
          <w:rFonts w:asciiTheme="majorHAnsi" w:hAnsiTheme="majorHAnsi"/>
          <w:sz w:val="22"/>
          <w:szCs w:val="22"/>
        </w:rPr>
        <w:t>no sentido</w:t>
      </w:r>
      <w:r w:rsidR="0080758F" w:rsidRPr="002F0018">
        <w:rPr>
          <w:rFonts w:asciiTheme="majorHAnsi" w:hAnsiTheme="majorHAnsi"/>
          <w:sz w:val="22"/>
          <w:szCs w:val="22"/>
        </w:rPr>
        <w:t xml:space="preserve"> de que </w:t>
      </w:r>
      <w:r w:rsidR="0075451A">
        <w:rPr>
          <w:rFonts w:asciiTheme="majorHAnsi" w:hAnsiTheme="majorHAnsi"/>
          <w:sz w:val="22"/>
          <w:szCs w:val="22"/>
        </w:rPr>
        <w:t>aquele empreendimento</w:t>
      </w:r>
      <w:r w:rsidR="0080758F" w:rsidRPr="002F0018">
        <w:rPr>
          <w:rFonts w:asciiTheme="majorHAnsi" w:hAnsiTheme="majorHAnsi"/>
          <w:sz w:val="22"/>
          <w:szCs w:val="22"/>
        </w:rPr>
        <w:t xml:space="preserve"> torn</w:t>
      </w:r>
      <w:r w:rsidR="008015B9">
        <w:rPr>
          <w:rFonts w:asciiTheme="majorHAnsi" w:hAnsiTheme="majorHAnsi"/>
          <w:sz w:val="22"/>
          <w:szCs w:val="22"/>
        </w:rPr>
        <w:t>ou</w:t>
      </w:r>
      <w:r w:rsidR="0080758F" w:rsidRPr="002F0018">
        <w:rPr>
          <w:rFonts w:asciiTheme="majorHAnsi" w:hAnsiTheme="majorHAnsi"/>
          <w:sz w:val="22"/>
          <w:szCs w:val="22"/>
        </w:rPr>
        <w:t xml:space="preserve">-se </w:t>
      </w:r>
      <w:r w:rsidR="0075451A" w:rsidRPr="002F0018">
        <w:rPr>
          <w:rFonts w:asciiTheme="majorHAnsi" w:hAnsiTheme="majorHAnsi"/>
          <w:sz w:val="22"/>
          <w:szCs w:val="22"/>
        </w:rPr>
        <w:t>corresponsável</w:t>
      </w:r>
      <w:r w:rsidR="0080758F" w:rsidRPr="002F0018">
        <w:rPr>
          <w:rFonts w:asciiTheme="majorHAnsi" w:hAnsiTheme="majorHAnsi"/>
          <w:sz w:val="22"/>
          <w:szCs w:val="22"/>
        </w:rPr>
        <w:t xml:space="preserve"> pelos atos ilícitos praticados pelos “lojistas”, consistentes em venda de mercadoria</w:t>
      </w:r>
      <w:r w:rsidR="00D22752">
        <w:rPr>
          <w:rFonts w:asciiTheme="majorHAnsi" w:hAnsiTheme="majorHAnsi"/>
          <w:sz w:val="22"/>
          <w:szCs w:val="22"/>
        </w:rPr>
        <w:t>s</w:t>
      </w:r>
      <w:r w:rsidR="0080758F" w:rsidRPr="002F0018">
        <w:rPr>
          <w:rFonts w:asciiTheme="majorHAnsi" w:hAnsiTheme="majorHAnsi"/>
          <w:sz w:val="22"/>
          <w:szCs w:val="22"/>
        </w:rPr>
        <w:t xml:space="preserve"> ilega</w:t>
      </w:r>
      <w:r w:rsidR="00D22752">
        <w:rPr>
          <w:rFonts w:asciiTheme="majorHAnsi" w:hAnsiTheme="majorHAnsi"/>
          <w:sz w:val="22"/>
          <w:szCs w:val="22"/>
        </w:rPr>
        <w:t>is</w:t>
      </w:r>
      <w:r w:rsidRPr="002F0018">
        <w:rPr>
          <w:rFonts w:asciiTheme="majorHAnsi" w:hAnsiTheme="majorHAnsi"/>
          <w:sz w:val="22"/>
          <w:szCs w:val="22"/>
        </w:rPr>
        <w:t>:</w:t>
      </w:r>
    </w:p>
    <w:p w14:paraId="62A8A842" w14:textId="79AC23E4" w:rsidR="00D22752"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r w:rsidR="0080758F" w:rsidRPr="0075451A">
        <w:rPr>
          <w:rFonts w:asciiTheme="majorHAnsi" w:hAnsiTheme="majorHAnsi" w:cs="Arial"/>
          <w:color w:val="000000"/>
          <w:sz w:val="18"/>
          <w:szCs w:val="18"/>
        </w:rPr>
        <w:t>Processo</w:t>
      </w:r>
      <w:r w:rsidR="00D22752">
        <w:rPr>
          <w:rFonts w:asciiTheme="majorHAnsi" w:hAnsiTheme="majorHAnsi" w:cs="Arial"/>
          <w:color w:val="000000"/>
          <w:sz w:val="18"/>
          <w:szCs w:val="18"/>
        </w:rPr>
        <w:t xml:space="preserve"> </w:t>
      </w:r>
      <w:r w:rsidR="0080758F" w:rsidRPr="0075451A">
        <w:rPr>
          <w:rFonts w:asciiTheme="majorHAnsi" w:hAnsiTheme="majorHAnsi" w:cs="Arial"/>
          <w:color w:val="000000"/>
          <w:sz w:val="18"/>
          <w:szCs w:val="18"/>
        </w:rPr>
        <w:t>REsp 1295838 / SP</w:t>
      </w:r>
      <w:r w:rsidR="00D22752">
        <w:rPr>
          <w:rFonts w:asciiTheme="majorHAnsi" w:hAnsiTheme="majorHAnsi" w:cs="Arial"/>
          <w:color w:val="000000"/>
          <w:sz w:val="18"/>
          <w:szCs w:val="18"/>
        </w:rPr>
        <w:t xml:space="preserve"> - RECURSO ESPECIAL 2011/0286913-4</w:t>
      </w:r>
    </w:p>
    <w:p w14:paraId="44D2B4CF" w14:textId="7B4BE356"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Relator(a)</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Ministra NANCY ANDRIGHI (1118)</w:t>
      </w:r>
    </w:p>
    <w:p w14:paraId="5F801E6B" w14:textId="4155A913"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Relator(a) p/ Acórdão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Ministro SIDNEI BENETI (1137)</w:t>
      </w:r>
    </w:p>
    <w:p w14:paraId="33FDC820" w14:textId="665819CC"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Órgão Julgador</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T3 - TERCEIRA TURMA</w:t>
      </w:r>
    </w:p>
    <w:p w14:paraId="7215AC42" w14:textId="7914F4F6"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do Julgamento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26/11/2013</w:t>
      </w:r>
    </w:p>
    <w:p w14:paraId="3E484187" w14:textId="33F35CDD"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da Publicação/Fonte</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DJe 25/02/2014</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RT vol. 944 p. 388</w:t>
      </w:r>
    </w:p>
    <w:p w14:paraId="75069E06" w14:textId="77777777" w:rsidR="0080758F" w:rsidRPr="0075451A" w:rsidRDefault="0080758F"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Ementa</w:t>
      </w:r>
    </w:p>
    <w:p w14:paraId="19E93F0C" w14:textId="77777777" w:rsidR="004D6170" w:rsidRPr="0075451A" w:rsidRDefault="004D6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CIVIL E PROCESSUAL CIVIL. VIOLAÇÃO A DIREITOS DE PROPRIEDADE INDUSTRIAL. "SHOPPING 25 DE MARÇO" EM SÃO PAULO. ADMINISTRADORA DE CENTRO COMERCIAL POPULAR EM QUE PERPETRADOS SISTEMATICAMENTE ILÍCITOS DESSA NATUREZA. RESPONSABILIDADE CIVIL.</w:t>
      </w:r>
    </w:p>
    <w:p w14:paraId="2424745F" w14:textId="6304BA4B" w:rsidR="004D6170" w:rsidRPr="0075451A" w:rsidRDefault="004D6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1.- A administradora de centro de comércio popular que, como firmado, na análise dos fatos, pela Justiça estadual de origem, permite e fomenta a violação ao direito de propriedade industrial das autoras, por parte dos lojistas locatários dos seus "stands" e "boxes", torna-se </w:t>
      </w:r>
      <w:r w:rsidR="00D22752" w:rsidRPr="0075451A">
        <w:rPr>
          <w:rFonts w:asciiTheme="majorHAnsi" w:hAnsiTheme="majorHAnsi" w:cs="Arial"/>
          <w:color w:val="000000"/>
          <w:sz w:val="18"/>
          <w:szCs w:val="18"/>
        </w:rPr>
        <w:t>corresponsável</w:t>
      </w:r>
      <w:r w:rsidRPr="0075451A">
        <w:rPr>
          <w:rFonts w:asciiTheme="majorHAnsi" w:hAnsiTheme="majorHAnsi" w:cs="Arial"/>
          <w:color w:val="000000"/>
          <w:sz w:val="18"/>
          <w:szCs w:val="18"/>
        </w:rPr>
        <w:t xml:space="preserve"> pelo ilícito danoso realizado por intermédio dos terceiros cessionários dos espaços do estabelecimento.</w:t>
      </w:r>
    </w:p>
    <w:p w14:paraId="25911F27" w14:textId="087EDFF4" w:rsidR="004D6170" w:rsidRPr="0075451A" w:rsidRDefault="004D6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2.- Considerada a moldura fática firmada pelo Tribunal de origem cuja reapreciação encontra obstáculo na Súmula 7 desta Corte, mantém-se a legitimidade passiva da proprietária do Shopping para a ação de proibição de atividade ilícita que vem realizando juntamente com os cessionários de suas unidades, para a ação ajuizada pelas titulares das marcas objeto de </w:t>
      </w:r>
      <w:r w:rsidR="00D22752" w:rsidRPr="0075451A">
        <w:rPr>
          <w:rFonts w:asciiTheme="majorHAnsi" w:hAnsiTheme="majorHAnsi" w:cs="Arial"/>
          <w:color w:val="000000"/>
          <w:sz w:val="18"/>
          <w:szCs w:val="18"/>
        </w:rPr>
        <w:t>contrafação</w:t>
      </w:r>
      <w:r w:rsidRPr="0075451A">
        <w:rPr>
          <w:rFonts w:asciiTheme="majorHAnsi" w:hAnsiTheme="majorHAnsi" w:cs="Arial"/>
          <w:color w:val="000000"/>
          <w:sz w:val="18"/>
          <w:szCs w:val="18"/>
        </w:rPr>
        <w:t>.</w:t>
      </w:r>
    </w:p>
    <w:p w14:paraId="4B64EF50" w14:textId="77777777" w:rsidR="0080758F" w:rsidRPr="0075451A" w:rsidRDefault="004D6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3.- Recurso Especial a que se nega provimento.</w:t>
      </w:r>
      <w:r w:rsidR="00494C16" w:rsidRPr="0075451A">
        <w:rPr>
          <w:rFonts w:asciiTheme="majorHAnsi" w:hAnsiTheme="majorHAnsi" w:cs="Arial"/>
          <w:color w:val="000000"/>
          <w:sz w:val="18"/>
          <w:szCs w:val="18"/>
        </w:rPr>
        <w:t>”</w:t>
      </w:r>
    </w:p>
    <w:p w14:paraId="7A3DA939" w14:textId="77777777" w:rsidR="00A70391" w:rsidRPr="002F0018" w:rsidRDefault="00A70391" w:rsidP="0080758F">
      <w:pPr>
        <w:spacing w:after="120" w:line="360" w:lineRule="auto"/>
        <w:jc w:val="both"/>
        <w:rPr>
          <w:rFonts w:asciiTheme="majorHAnsi" w:hAnsiTheme="majorHAnsi"/>
          <w:sz w:val="22"/>
          <w:szCs w:val="22"/>
        </w:rPr>
      </w:pPr>
    </w:p>
    <w:p w14:paraId="2A91F5C1" w14:textId="104B5CD5" w:rsidR="007531C9" w:rsidRPr="002F0018" w:rsidRDefault="008A17B7" w:rsidP="002F0018">
      <w:pPr>
        <w:spacing w:after="240" w:line="360" w:lineRule="auto"/>
        <w:jc w:val="both"/>
        <w:rPr>
          <w:rFonts w:asciiTheme="majorHAnsi" w:hAnsiTheme="majorHAnsi"/>
          <w:sz w:val="22"/>
          <w:szCs w:val="22"/>
        </w:rPr>
      </w:pPr>
      <w:r w:rsidRPr="002F0018">
        <w:rPr>
          <w:rFonts w:asciiTheme="majorHAnsi" w:hAnsiTheme="majorHAnsi"/>
          <w:sz w:val="22"/>
          <w:szCs w:val="22"/>
        </w:rPr>
        <w:t>Uma vez definido o ato ilícito, o Código Civil estipula a obrigação de reparar o dano decorrente desse tipo de ato</w:t>
      </w:r>
      <w:r w:rsidR="008015B9">
        <w:rPr>
          <w:rFonts w:asciiTheme="majorHAnsi" w:hAnsiTheme="majorHAnsi"/>
          <w:sz w:val="22"/>
          <w:szCs w:val="22"/>
        </w:rPr>
        <w:t xml:space="preserve">. Neste ponto, fazemos a necessária distinção entre responsabilidade objetiva e subjetiva </w:t>
      </w:r>
      <w:r w:rsidR="008015B9">
        <w:rPr>
          <w:rStyle w:val="FootnoteReference"/>
          <w:rFonts w:asciiTheme="majorHAnsi" w:hAnsiTheme="majorHAnsi"/>
          <w:sz w:val="22"/>
          <w:szCs w:val="22"/>
        </w:rPr>
        <w:footnoteReference w:id="2"/>
      </w:r>
      <w:r w:rsidR="007531C9" w:rsidRPr="002F0018">
        <w:rPr>
          <w:rFonts w:asciiTheme="majorHAnsi" w:hAnsiTheme="majorHAnsi"/>
          <w:sz w:val="22"/>
          <w:szCs w:val="22"/>
        </w:rPr>
        <w:t>:</w:t>
      </w:r>
    </w:p>
    <w:p w14:paraId="3C8DC54E" w14:textId="77777777" w:rsidR="008A17B7"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r w:rsidR="008A17B7" w:rsidRPr="0075451A">
        <w:rPr>
          <w:rFonts w:asciiTheme="majorHAnsi" w:hAnsiTheme="majorHAnsi" w:cs="Arial"/>
          <w:color w:val="000000"/>
          <w:sz w:val="18"/>
          <w:szCs w:val="18"/>
        </w:rPr>
        <w:t>Art. 927. Aquele que, por ato ilícito (arts. 186 e 187), causar dano a outrem, fica obrigado a repará-lo.</w:t>
      </w:r>
    </w:p>
    <w:p w14:paraId="25D71329" w14:textId="5DF009E9" w:rsidR="00A70391" w:rsidRPr="0075451A" w:rsidRDefault="008A17B7"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lastRenderedPageBreak/>
        <w:t>Parágrafo único. Haverá obrigação de reparar o dano, independentemente de culpa, nos casos especificados em lei, ou quando a atividade normalmente desenvolvida pelo autor do dano implicar, por sua natureza, risco para os direitos de outrem.</w:t>
      </w:r>
      <w:r w:rsidR="00494C16" w:rsidRPr="0075451A">
        <w:rPr>
          <w:rFonts w:asciiTheme="majorHAnsi" w:hAnsiTheme="majorHAnsi" w:cs="Arial"/>
          <w:color w:val="000000"/>
          <w:sz w:val="18"/>
          <w:szCs w:val="18"/>
        </w:rPr>
        <w:t>”</w:t>
      </w:r>
      <w:r w:rsidR="00D22752">
        <w:rPr>
          <w:rFonts w:asciiTheme="majorHAnsi" w:hAnsiTheme="majorHAnsi" w:cs="Arial"/>
          <w:color w:val="000000"/>
          <w:sz w:val="18"/>
          <w:szCs w:val="18"/>
        </w:rPr>
        <w:t xml:space="preserve"> </w:t>
      </w:r>
      <w:r w:rsidR="00D22752">
        <w:rPr>
          <w:rStyle w:val="FootnoteReference"/>
          <w:rFonts w:asciiTheme="majorHAnsi" w:hAnsiTheme="majorHAnsi" w:cs="Arial"/>
          <w:color w:val="000000"/>
          <w:sz w:val="18"/>
          <w:szCs w:val="18"/>
        </w:rPr>
        <w:footnoteReference w:id="3"/>
      </w:r>
    </w:p>
    <w:p w14:paraId="4706CCDB" w14:textId="77777777" w:rsidR="000925D4" w:rsidRPr="002F0018" w:rsidRDefault="000925D4" w:rsidP="000925D4">
      <w:pPr>
        <w:pStyle w:val="NormalWeb"/>
        <w:spacing w:after="120" w:line="240" w:lineRule="auto"/>
        <w:ind w:left="2268"/>
        <w:jc w:val="both"/>
        <w:rPr>
          <w:rFonts w:asciiTheme="majorHAnsi" w:hAnsiTheme="majorHAnsi" w:cs="Arial"/>
          <w:color w:val="000000"/>
          <w:sz w:val="22"/>
          <w:szCs w:val="22"/>
        </w:rPr>
      </w:pPr>
    </w:p>
    <w:p w14:paraId="6AEDD9E7" w14:textId="77777777" w:rsidR="008A17B7" w:rsidRPr="002F0018" w:rsidRDefault="008A17B7" w:rsidP="002F0018">
      <w:pPr>
        <w:spacing w:after="240" w:line="360" w:lineRule="auto"/>
        <w:jc w:val="both"/>
        <w:rPr>
          <w:rFonts w:asciiTheme="majorHAnsi" w:hAnsiTheme="majorHAnsi"/>
          <w:sz w:val="22"/>
          <w:szCs w:val="22"/>
        </w:rPr>
      </w:pPr>
      <w:r w:rsidRPr="002F0018">
        <w:rPr>
          <w:rFonts w:asciiTheme="majorHAnsi" w:hAnsiTheme="majorHAnsi"/>
          <w:sz w:val="22"/>
          <w:szCs w:val="22"/>
        </w:rPr>
        <w:t>Mais adiante:</w:t>
      </w:r>
    </w:p>
    <w:p w14:paraId="41CD65C9" w14:textId="77777777" w:rsidR="008A17B7"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r w:rsidR="008A17B7" w:rsidRPr="0075451A">
        <w:rPr>
          <w:rFonts w:asciiTheme="majorHAnsi" w:hAnsiTheme="majorHAnsi" w:cs="Arial"/>
          <w:color w:val="000000"/>
          <w:sz w:val="18"/>
          <w:szCs w:val="18"/>
        </w:rPr>
        <w:t>Art. 932. São também responsáveis pela reparação civil:</w:t>
      </w:r>
    </w:p>
    <w:p w14:paraId="7FC69506" w14:textId="77777777" w:rsidR="008A17B7" w:rsidRPr="0075451A" w:rsidRDefault="008A17B7"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0050128D" w14:textId="77777777" w:rsidR="008A17B7" w:rsidRPr="0075451A" w:rsidRDefault="008A17B7"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III - o empregador ou comitente, por seus empregados, serviçais e prepostos, no exercício do trabalho que lhes competir, ou em razão dele;</w:t>
      </w:r>
      <w:r w:rsidR="00494C16" w:rsidRPr="0075451A">
        <w:rPr>
          <w:rFonts w:asciiTheme="majorHAnsi" w:hAnsiTheme="majorHAnsi" w:cs="Arial"/>
          <w:color w:val="000000"/>
          <w:sz w:val="18"/>
          <w:szCs w:val="18"/>
        </w:rPr>
        <w:t>”</w:t>
      </w:r>
    </w:p>
    <w:p w14:paraId="1AE45902" w14:textId="77777777" w:rsidR="000925D4" w:rsidRPr="002F0018" w:rsidRDefault="000925D4" w:rsidP="000925D4">
      <w:pPr>
        <w:pStyle w:val="NormalWeb"/>
        <w:spacing w:after="120" w:line="240" w:lineRule="auto"/>
        <w:ind w:left="2268"/>
        <w:jc w:val="both"/>
        <w:rPr>
          <w:rFonts w:asciiTheme="majorHAnsi" w:hAnsiTheme="majorHAnsi" w:cs="Arial"/>
          <w:color w:val="000000"/>
          <w:sz w:val="22"/>
          <w:szCs w:val="22"/>
        </w:rPr>
      </w:pPr>
    </w:p>
    <w:p w14:paraId="45375488" w14:textId="77777777" w:rsidR="008A17B7" w:rsidRPr="002F0018" w:rsidRDefault="008A17B7" w:rsidP="002F0018">
      <w:pPr>
        <w:spacing w:after="240" w:line="360" w:lineRule="auto"/>
        <w:jc w:val="both"/>
        <w:rPr>
          <w:rFonts w:asciiTheme="majorHAnsi" w:hAnsiTheme="majorHAnsi"/>
          <w:sz w:val="22"/>
          <w:szCs w:val="22"/>
        </w:rPr>
      </w:pPr>
      <w:r w:rsidRPr="002F0018">
        <w:rPr>
          <w:rFonts w:asciiTheme="majorHAnsi" w:hAnsiTheme="majorHAnsi"/>
          <w:sz w:val="22"/>
          <w:szCs w:val="22"/>
        </w:rPr>
        <w:t>Ainda sobre o tema:</w:t>
      </w:r>
    </w:p>
    <w:p w14:paraId="76B2AD1C" w14:textId="77777777" w:rsidR="008A17B7"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r w:rsidR="008A17B7" w:rsidRPr="0075451A">
        <w:rPr>
          <w:rFonts w:asciiTheme="majorHAnsi" w:hAnsiTheme="majorHAnsi" w:cs="Arial"/>
          <w:color w:val="000000"/>
          <w:sz w:val="18"/>
          <w:szCs w:val="18"/>
        </w:rPr>
        <w:t>Art. 933. As pessoas indicadas nos incisos I a V do artigo antecedente, ainda que não haja culpa de sua parte, responderão pelos atos praticados pelos terceiros ali referidos.</w:t>
      </w:r>
      <w:r w:rsidRPr="0075451A">
        <w:rPr>
          <w:rFonts w:asciiTheme="majorHAnsi" w:hAnsiTheme="majorHAnsi" w:cs="Arial"/>
          <w:color w:val="000000"/>
          <w:sz w:val="18"/>
          <w:szCs w:val="18"/>
        </w:rPr>
        <w:t>”</w:t>
      </w:r>
    </w:p>
    <w:p w14:paraId="3FA804DB" w14:textId="77777777" w:rsidR="000925D4" w:rsidRPr="002F0018" w:rsidRDefault="000925D4" w:rsidP="000925D4">
      <w:pPr>
        <w:pStyle w:val="NormalWeb"/>
        <w:spacing w:after="120" w:line="240" w:lineRule="auto"/>
        <w:ind w:left="2268"/>
        <w:jc w:val="both"/>
        <w:rPr>
          <w:rFonts w:asciiTheme="majorHAnsi" w:hAnsiTheme="majorHAnsi" w:cs="Arial"/>
          <w:color w:val="000000"/>
          <w:sz w:val="22"/>
          <w:szCs w:val="22"/>
        </w:rPr>
      </w:pPr>
    </w:p>
    <w:p w14:paraId="2BCF1ECD" w14:textId="49DA429B" w:rsidR="000925D4" w:rsidRPr="002F0018" w:rsidRDefault="006B344E" w:rsidP="002F0018">
      <w:pPr>
        <w:spacing w:after="240" w:line="360" w:lineRule="auto"/>
        <w:jc w:val="both"/>
        <w:rPr>
          <w:rFonts w:asciiTheme="majorHAnsi" w:hAnsiTheme="majorHAnsi"/>
          <w:sz w:val="22"/>
          <w:szCs w:val="22"/>
        </w:rPr>
      </w:pPr>
      <w:r w:rsidRPr="002F0018">
        <w:rPr>
          <w:rFonts w:asciiTheme="majorHAnsi" w:hAnsiTheme="majorHAnsi"/>
          <w:sz w:val="22"/>
          <w:szCs w:val="22"/>
        </w:rPr>
        <w:t>O STJ, na jurisprudência copiada abaixo, interpretou os artigos 927, parágrafo único</w:t>
      </w:r>
      <w:r w:rsidR="008015B9">
        <w:rPr>
          <w:rFonts w:asciiTheme="majorHAnsi" w:hAnsiTheme="majorHAnsi"/>
          <w:sz w:val="22"/>
          <w:szCs w:val="22"/>
        </w:rPr>
        <w:t>,</w:t>
      </w:r>
      <w:r w:rsidRPr="002F0018">
        <w:rPr>
          <w:rFonts w:asciiTheme="majorHAnsi" w:hAnsiTheme="majorHAnsi"/>
          <w:sz w:val="22"/>
          <w:szCs w:val="22"/>
        </w:rPr>
        <w:t xml:space="preserve"> e 932, do C</w:t>
      </w:r>
      <w:r w:rsidR="008015B9">
        <w:rPr>
          <w:rFonts w:asciiTheme="majorHAnsi" w:hAnsiTheme="majorHAnsi"/>
          <w:sz w:val="22"/>
          <w:szCs w:val="22"/>
        </w:rPr>
        <w:t>ódigo Civil, bem como o art. 17</w:t>
      </w:r>
      <w:r w:rsidRPr="002F0018">
        <w:rPr>
          <w:rFonts w:asciiTheme="majorHAnsi" w:hAnsiTheme="majorHAnsi"/>
          <w:sz w:val="22"/>
          <w:szCs w:val="22"/>
        </w:rPr>
        <w:t xml:space="preserve"> do Código de Defesa do Consumidor</w:t>
      </w:r>
      <w:r w:rsidR="00685CBD">
        <w:rPr>
          <w:rFonts w:asciiTheme="majorHAnsi" w:hAnsiTheme="majorHAnsi"/>
          <w:sz w:val="22"/>
          <w:szCs w:val="22"/>
        </w:rPr>
        <w:t xml:space="preserve"> (CDC)</w:t>
      </w:r>
      <w:r w:rsidRPr="002F0018">
        <w:rPr>
          <w:rFonts w:asciiTheme="majorHAnsi" w:hAnsiTheme="majorHAnsi"/>
          <w:sz w:val="22"/>
          <w:szCs w:val="22"/>
        </w:rPr>
        <w:t xml:space="preserve">, chegando à conclusão de que o </w:t>
      </w:r>
      <w:r w:rsidR="008015B9" w:rsidRPr="002F0018">
        <w:rPr>
          <w:rFonts w:asciiTheme="majorHAnsi" w:hAnsiTheme="majorHAnsi"/>
          <w:sz w:val="22"/>
          <w:szCs w:val="22"/>
        </w:rPr>
        <w:t xml:space="preserve">shopping </w:t>
      </w:r>
      <w:r w:rsidR="00E20EF1" w:rsidRPr="002F0018">
        <w:rPr>
          <w:rFonts w:asciiTheme="majorHAnsi" w:hAnsiTheme="majorHAnsi"/>
          <w:sz w:val="22"/>
          <w:szCs w:val="22"/>
        </w:rPr>
        <w:t xml:space="preserve">desenvolveu atividade de entretenimento no intuito de atrair maior número de consumidores, bem como o fato de que o defeito na qualidade do serviço prestado por terceiro atraiu </w:t>
      </w:r>
      <w:r w:rsidR="00623D9A">
        <w:rPr>
          <w:rFonts w:asciiTheme="majorHAnsi" w:hAnsiTheme="majorHAnsi"/>
          <w:sz w:val="22"/>
          <w:szCs w:val="22"/>
        </w:rPr>
        <w:t>a aplicação d</w:t>
      </w:r>
      <w:r w:rsidR="00E20EF1" w:rsidRPr="002F0018">
        <w:rPr>
          <w:rFonts w:asciiTheme="majorHAnsi" w:hAnsiTheme="majorHAnsi"/>
          <w:sz w:val="22"/>
          <w:szCs w:val="22"/>
        </w:rPr>
        <w:t xml:space="preserve">o art. 17, do CDC, </w:t>
      </w:r>
      <w:r w:rsidR="008015B9">
        <w:rPr>
          <w:rFonts w:asciiTheme="majorHAnsi" w:hAnsiTheme="majorHAnsi"/>
          <w:sz w:val="22"/>
          <w:szCs w:val="22"/>
        </w:rPr>
        <w:t>e, com isso, imputou</w:t>
      </w:r>
      <w:r w:rsidR="00E20EF1" w:rsidRPr="002F0018">
        <w:rPr>
          <w:rFonts w:asciiTheme="majorHAnsi" w:hAnsiTheme="majorHAnsi"/>
          <w:sz w:val="22"/>
          <w:szCs w:val="22"/>
        </w:rPr>
        <w:t xml:space="preserve"> </w:t>
      </w:r>
      <w:r w:rsidR="00D22752" w:rsidRPr="002F0018">
        <w:rPr>
          <w:rFonts w:asciiTheme="majorHAnsi" w:hAnsiTheme="majorHAnsi"/>
          <w:sz w:val="22"/>
          <w:szCs w:val="22"/>
        </w:rPr>
        <w:t>corresponsabilidade</w:t>
      </w:r>
      <w:r w:rsidR="00E20EF1" w:rsidRPr="002F0018">
        <w:rPr>
          <w:rFonts w:asciiTheme="majorHAnsi" w:hAnsiTheme="majorHAnsi"/>
          <w:sz w:val="22"/>
          <w:szCs w:val="22"/>
        </w:rPr>
        <w:t xml:space="preserve"> ao </w:t>
      </w:r>
      <w:r w:rsidR="008015B9" w:rsidRPr="002F0018">
        <w:rPr>
          <w:rFonts w:asciiTheme="majorHAnsi" w:hAnsiTheme="majorHAnsi"/>
          <w:sz w:val="22"/>
          <w:szCs w:val="22"/>
        </w:rPr>
        <w:t>shopping</w:t>
      </w:r>
      <w:r w:rsidR="00E20EF1" w:rsidRPr="002F0018">
        <w:rPr>
          <w:rFonts w:asciiTheme="majorHAnsi" w:hAnsiTheme="majorHAnsi"/>
          <w:sz w:val="22"/>
          <w:szCs w:val="22"/>
        </w:rPr>
        <w:t>:</w:t>
      </w:r>
    </w:p>
    <w:p w14:paraId="014CD730" w14:textId="16386BB7" w:rsidR="004A0BCE" w:rsidRPr="0075451A" w:rsidRDefault="00494C16"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r w:rsidR="004A0BCE" w:rsidRPr="0075451A">
        <w:rPr>
          <w:rFonts w:asciiTheme="majorHAnsi" w:hAnsiTheme="majorHAnsi" w:cs="Arial"/>
          <w:color w:val="000000"/>
          <w:sz w:val="18"/>
          <w:szCs w:val="18"/>
        </w:rPr>
        <w:t>Processo</w:t>
      </w:r>
      <w:r w:rsidR="00D22752">
        <w:rPr>
          <w:rFonts w:asciiTheme="majorHAnsi" w:hAnsiTheme="majorHAnsi" w:cs="Arial"/>
          <w:color w:val="000000"/>
          <w:sz w:val="18"/>
          <w:szCs w:val="18"/>
        </w:rPr>
        <w:t xml:space="preserve">  </w:t>
      </w:r>
      <w:r w:rsidR="004A0BCE" w:rsidRPr="0075451A">
        <w:rPr>
          <w:rFonts w:asciiTheme="majorHAnsi" w:hAnsiTheme="majorHAnsi" w:cs="Arial"/>
          <w:color w:val="000000"/>
          <w:sz w:val="18"/>
          <w:szCs w:val="18"/>
        </w:rPr>
        <w:t>REsp 1100571 / PE</w:t>
      </w:r>
      <w:r w:rsidR="00D22752">
        <w:rPr>
          <w:rFonts w:asciiTheme="majorHAnsi" w:hAnsiTheme="majorHAnsi" w:cs="Arial"/>
          <w:color w:val="000000"/>
          <w:sz w:val="18"/>
          <w:szCs w:val="18"/>
        </w:rPr>
        <w:t xml:space="preserve"> - </w:t>
      </w:r>
      <w:r w:rsidR="004A0BCE" w:rsidRPr="0075451A">
        <w:rPr>
          <w:rFonts w:asciiTheme="majorHAnsi" w:hAnsiTheme="majorHAnsi" w:cs="Arial"/>
          <w:color w:val="000000"/>
          <w:sz w:val="18"/>
          <w:szCs w:val="18"/>
        </w:rPr>
        <w:t>RECURSO ESPECIAL</w:t>
      </w:r>
      <w:r w:rsidR="00D22752">
        <w:rPr>
          <w:rFonts w:asciiTheme="majorHAnsi" w:hAnsiTheme="majorHAnsi" w:cs="Arial"/>
          <w:color w:val="000000"/>
          <w:sz w:val="18"/>
          <w:szCs w:val="18"/>
        </w:rPr>
        <w:t xml:space="preserve"> </w:t>
      </w:r>
      <w:r w:rsidR="004A0BCE" w:rsidRPr="0075451A">
        <w:rPr>
          <w:rFonts w:asciiTheme="majorHAnsi" w:hAnsiTheme="majorHAnsi" w:cs="Arial"/>
          <w:color w:val="000000"/>
          <w:sz w:val="18"/>
          <w:szCs w:val="18"/>
        </w:rPr>
        <w:t>2008/0233876-6</w:t>
      </w:r>
    </w:p>
    <w:p w14:paraId="7BE7F7F8"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p>
    <w:p w14:paraId="0BA381C4" w14:textId="4F340613"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 Relator(a)</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 xml:space="preserve"> Ministro LUIS FELIPE SALOMÃO (1140)</w:t>
      </w:r>
    </w:p>
    <w:p w14:paraId="1AB5E8CA"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p>
    <w:p w14:paraId="03F80759" w14:textId="55BAF444"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Órgão Julgador T4 - QUARTA TURMA</w:t>
      </w:r>
    </w:p>
    <w:p w14:paraId="5D3E97CE"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p>
    <w:p w14:paraId="6B3163C0" w14:textId="182125D0"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do Julgamento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07/04/2011</w:t>
      </w:r>
    </w:p>
    <w:p w14:paraId="60CCBB74"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p>
    <w:p w14:paraId="0737B234" w14:textId="393AA4FE"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da Publicação/Fonte</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 xml:space="preserve"> DJe 18/08/2011</w:t>
      </w:r>
    </w:p>
    <w:p w14:paraId="7EBC3AB8"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p>
    <w:p w14:paraId="1625B023" w14:textId="77777777" w:rsidR="004A0BCE" w:rsidRPr="0075451A" w:rsidRDefault="004A0BCE"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Ementa</w:t>
      </w:r>
    </w:p>
    <w:p w14:paraId="3EE2FBF7"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p>
    <w:p w14:paraId="24E916FD"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RESPONSABILIDADE CIVIL E DIREITO DO CONSUMIDOR. RECURSO ESPECIAL.</w:t>
      </w:r>
    </w:p>
    <w:p w14:paraId="1D239CBD"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ALEGAÇÃO DE OMISSÃO DO JULGADO. ART. 535 DO CPC. INEXISTÊNCIA.</w:t>
      </w:r>
    </w:p>
    <w:p w14:paraId="7A40B44E"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ESPETÁCULO CIRCENSE - MORTE DE CRIANÇA EM DECORRÊNCIA DE ATAQUE DE LEÕES - CIRCO INSTALADO EM ÁREA UTILIZADA COMO ESTACIONAMENTO DE SHOPPING CENTER. LEGITIMIDADE PASSIVA DAS LOCADORAS. DESENVOLVIMENTO DE ATIVIDADE DE ENTRETENIMENTO COM O FIM DE ATRAIR UM MAIOR NÚMERO DE CONSUMIDORES.</w:t>
      </w:r>
      <w:r w:rsidR="000B3BE5" w:rsidRPr="0075451A">
        <w:rPr>
          <w:rFonts w:asciiTheme="majorHAnsi" w:hAnsiTheme="majorHAnsi" w:cs="Arial"/>
          <w:color w:val="000000"/>
          <w:sz w:val="18"/>
          <w:szCs w:val="18"/>
        </w:rPr>
        <w:t xml:space="preserve"> </w:t>
      </w:r>
      <w:r w:rsidRPr="0075451A">
        <w:rPr>
          <w:rFonts w:asciiTheme="majorHAnsi" w:hAnsiTheme="majorHAnsi" w:cs="Arial"/>
          <w:color w:val="000000"/>
          <w:sz w:val="18"/>
          <w:szCs w:val="18"/>
        </w:rPr>
        <w:lastRenderedPageBreak/>
        <w:t>RESPONSABILIDADE. DEFEITO DO SERVIÇO (VÍCIO DE QUALIDADE POR INSEGURANÇA). DANO MORAL. VALOR EXORBITANTE. REDUÇÃO.</w:t>
      </w:r>
    </w:p>
    <w:p w14:paraId="1F5216A3"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MULTA. ART. 538 DO CPC. AFASTAMENTO.</w:t>
      </w:r>
    </w:p>
    <w:p w14:paraId="2B3B4043"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1- O órgão julgador deve enfrentar as questões relevantes para a solução do litígio, afigurando-se dispensável o exame de todas as alegações e fundamentos expendidos pelas partes. Precedentes.</w:t>
      </w:r>
    </w:p>
    <w:p w14:paraId="1B1D040A"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2- Está presente a legitimidade passiva das litisconsortes, pois o acórdão recorrido afirmou que o circo foi apenas mais um serviço que o condomínio do shopping, juntamente com as sociedades empresárias rés, integrantes de um mesmo grupo societário, colocaram à disposição daqueles que frequentam o local, com o único objetivo de angariar clientes potencialmente consumidores e elevar os lucros.</w:t>
      </w:r>
    </w:p>
    <w:p w14:paraId="4330A1DD"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Incidência da Súmula 7/STJ.</w:t>
      </w:r>
    </w:p>
    <w:p w14:paraId="3BBE77E6" w14:textId="1D7CF47A"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3- No caso em julgamento - trágico acidente ocorrido durante apresentação do Circo </w:t>
      </w:r>
      <w:proofErr w:type="spellStart"/>
      <w:r w:rsidR="00D22752">
        <w:rPr>
          <w:rFonts w:asciiTheme="majorHAnsi" w:hAnsiTheme="majorHAnsi" w:cs="Arial"/>
          <w:color w:val="000000"/>
          <w:sz w:val="18"/>
          <w:szCs w:val="18"/>
        </w:rPr>
        <w:t>Vostok</w:t>
      </w:r>
      <w:proofErr w:type="spellEnd"/>
      <w:r w:rsidRPr="0075451A">
        <w:rPr>
          <w:rFonts w:asciiTheme="majorHAnsi" w:hAnsiTheme="majorHAnsi" w:cs="Arial"/>
          <w:color w:val="000000"/>
          <w:sz w:val="18"/>
          <w:szCs w:val="18"/>
        </w:rPr>
        <w:t xml:space="preserve"> instalado em estacionamento de shopping center, quando menor de idade foi morto após ataque por leões -, o art. 17 do Código de Defesa do Consumidor estende o conceito de consumidor àqueles que sofrem a consequência de acidente de consumo. Houve vício de qualidade na prestação do serviço, por insegurança, conforme asseverado pelo acórdão recorrido.</w:t>
      </w:r>
    </w:p>
    <w:p w14:paraId="150A7984"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4- Ademais, o Código Civil admite a responsabilidade sem culpa pelo exercício de atividade que, por sua natureza, representa risco para outrem, como exatamente no caso em apreço.</w:t>
      </w:r>
    </w:p>
    <w:p w14:paraId="4DE470F4"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5- O valor da indenização por dano moral sujeita-se ao controle do Superior Tribunal de Justiça, na hipótese de se mostrar manifestamente exagerado ou irrisório, distanciando-se, assim, das finalidades da lei. O valor estabelecido para indenizar o dano moral experimentado revela-se exorbitante, e deve ser reduzido aos parâmetros adotados pelo STJ.</w:t>
      </w:r>
    </w:p>
    <w:p w14:paraId="4FCE1CBA" w14:textId="77777777" w:rsidR="004A0BCE" w:rsidRPr="0075451A" w:rsidRDefault="004A0BC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6- Não cabe multa nos embargos declaratórios opostos com intuito de prequestionamento. Súmula 98/STJ.</w:t>
      </w:r>
    </w:p>
    <w:p w14:paraId="79A721B6" w14:textId="6DCC9F47" w:rsidR="000B3BE5" w:rsidRDefault="004A0BCE" w:rsidP="00D22752">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7- Provimento parcial do recurso especial.</w:t>
      </w:r>
      <w:r w:rsidR="00D22752">
        <w:rPr>
          <w:rFonts w:asciiTheme="majorHAnsi" w:hAnsiTheme="majorHAnsi" w:cs="Arial"/>
          <w:color w:val="000000"/>
          <w:sz w:val="18"/>
          <w:szCs w:val="18"/>
        </w:rPr>
        <w:t>”</w:t>
      </w:r>
    </w:p>
    <w:p w14:paraId="1BC54100" w14:textId="77777777" w:rsidR="002B1250" w:rsidRPr="002F0018" w:rsidRDefault="002B1250" w:rsidP="00DF31F3">
      <w:pPr>
        <w:spacing w:after="120" w:line="360" w:lineRule="auto"/>
        <w:ind w:firstLine="2268"/>
        <w:jc w:val="both"/>
        <w:rPr>
          <w:rFonts w:asciiTheme="majorHAnsi" w:hAnsiTheme="majorHAnsi"/>
          <w:sz w:val="22"/>
          <w:szCs w:val="22"/>
        </w:rPr>
      </w:pPr>
    </w:p>
    <w:p w14:paraId="795B5678" w14:textId="17BC0DF1" w:rsidR="000B3BE5" w:rsidRPr="002F0018" w:rsidRDefault="00DF31F3" w:rsidP="002F0018">
      <w:pPr>
        <w:spacing w:after="240" w:line="360" w:lineRule="auto"/>
        <w:jc w:val="both"/>
        <w:rPr>
          <w:rFonts w:asciiTheme="majorHAnsi" w:hAnsiTheme="majorHAnsi"/>
          <w:sz w:val="22"/>
          <w:szCs w:val="22"/>
        </w:rPr>
      </w:pPr>
      <w:r w:rsidRPr="002F0018">
        <w:rPr>
          <w:rFonts w:asciiTheme="majorHAnsi" w:hAnsiTheme="majorHAnsi"/>
          <w:sz w:val="22"/>
          <w:szCs w:val="22"/>
        </w:rPr>
        <w:t>O art. 17, do Código de Defesa do Consumidor</w:t>
      </w:r>
      <w:r w:rsidR="00685CBD">
        <w:rPr>
          <w:rFonts w:asciiTheme="majorHAnsi" w:hAnsiTheme="majorHAnsi"/>
          <w:sz w:val="22"/>
          <w:szCs w:val="22"/>
        </w:rPr>
        <w:t xml:space="preserve"> (CDC)</w:t>
      </w:r>
      <w:r w:rsidRPr="002F0018">
        <w:rPr>
          <w:rFonts w:asciiTheme="majorHAnsi" w:hAnsiTheme="majorHAnsi"/>
          <w:sz w:val="22"/>
          <w:szCs w:val="22"/>
        </w:rPr>
        <w:t>, citado como um dos fundamentos do Acórdão, diz o seguinte:</w:t>
      </w:r>
    </w:p>
    <w:p w14:paraId="40111FA5" w14:textId="77777777" w:rsidR="00494C16"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“SEÇÃO II</w:t>
      </w:r>
    </w:p>
    <w:p w14:paraId="6BF7E610" w14:textId="77777777" w:rsidR="00DF31F3"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 Responsabilidade pelo Fato do Produto e do Serviço</w:t>
      </w:r>
    </w:p>
    <w:p w14:paraId="2041EDF3" w14:textId="77777777" w:rsidR="00494C16"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bookmarkStart w:id="0" w:name="art17"/>
      <w:bookmarkEnd w:id="0"/>
      <w:r w:rsidRPr="0075451A">
        <w:rPr>
          <w:rFonts w:asciiTheme="majorHAnsi" w:hAnsiTheme="majorHAnsi" w:cs="Arial"/>
          <w:color w:val="000000"/>
          <w:sz w:val="18"/>
          <w:szCs w:val="18"/>
        </w:rPr>
        <w:t>[...]</w:t>
      </w:r>
    </w:p>
    <w:p w14:paraId="1C5239C1" w14:textId="77777777" w:rsidR="00494C16" w:rsidRPr="0075451A" w:rsidRDefault="00494C16"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Art. 17. Para os efeitos desta Seção, equiparam-se aos consumidores todas as vítimas do evento.”</w:t>
      </w:r>
    </w:p>
    <w:p w14:paraId="197E569D" w14:textId="77777777" w:rsidR="002B1250" w:rsidRPr="002F0018" w:rsidRDefault="002B1250" w:rsidP="00494C16">
      <w:pPr>
        <w:pStyle w:val="NormalWeb"/>
        <w:spacing w:after="120" w:line="240" w:lineRule="auto"/>
        <w:ind w:left="2268"/>
        <w:jc w:val="both"/>
        <w:rPr>
          <w:rFonts w:asciiTheme="majorHAnsi" w:hAnsiTheme="majorHAnsi" w:cs="Arial"/>
          <w:color w:val="000000"/>
          <w:sz w:val="22"/>
          <w:szCs w:val="22"/>
        </w:rPr>
      </w:pPr>
    </w:p>
    <w:p w14:paraId="1ECD930A" w14:textId="77777777" w:rsidR="002B1250" w:rsidRPr="002F0018" w:rsidRDefault="002B1250" w:rsidP="002F0018">
      <w:pPr>
        <w:spacing w:after="240" w:line="360" w:lineRule="auto"/>
        <w:jc w:val="both"/>
        <w:rPr>
          <w:rFonts w:asciiTheme="majorHAnsi" w:hAnsiTheme="majorHAnsi"/>
          <w:sz w:val="22"/>
          <w:szCs w:val="22"/>
        </w:rPr>
      </w:pPr>
      <w:r w:rsidRPr="002F0018">
        <w:rPr>
          <w:rFonts w:asciiTheme="majorHAnsi" w:hAnsiTheme="majorHAnsi"/>
          <w:sz w:val="22"/>
          <w:szCs w:val="22"/>
        </w:rPr>
        <w:t>A Seção citada no art. 17, do CDC (que vai dos artigos 12 ao 17) trata da responsabilidade dos fornecedores pelos defeitos nos produtos ou serviços.</w:t>
      </w:r>
    </w:p>
    <w:p w14:paraId="4F8E9D7B" w14:textId="4393C63B" w:rsidR="00E96223" w:rsidRPr="002F0018" w:rsidRDefault="00E96223" w:rsidP="002F0018">
      <w:pPr>
        <w:spacing w:after="240" w:line="360" w:lineRule="auto"/>
        <w:jc w:val="both"/>
        <w:rPr>
          <w:rFonts w:asciiTheme="majorHAnsi" w:hAnsiTheme="majorHAnsi"/>
          <w:sz w:val="22"/>
          <w:szCs w:val="22"/>
        </w:rPr>
      </w:pPr>
      <w:r w:rsidRPr="002F0018">
        <w:rPr>
          <w:rFonts w:asciiTheme="majorHAnsi" w:hAnsiTheme="majorHAnsi"/>
          <w:sz w:val="22"/>
          <w:szCs w:val="22"/>
        </w:rPr>
        <w:t>A aplicação do art. 17, do CDC</w:t>
      </w:r>
      <w:r w:rsidR="00D22752">
        <w:rPr>
          <w:rFonts w:asciiTheme="majorHAnsi" w:hAnsiTheme="majorHAnsi"/>
          <w:sz w:val="22"/>
          <w:szCs w:val="22"/>
        </w:rPr>
        <w:t>,</w:t>
      </w:r>
      <w:r w:rsidRPr="002F0018">
        <w:rPr>
          <w:rFonts w:asciiTheme="majorHAnsi" w:hAnsiTheme="majorHAnsi"/>
          <w:sz w:val="22"/>
          <w:szCs w:val="22"/>
        </w:rPr>
        <w:t xml:space="preserve"> se dá quando </w:t>
      </w:r>
      <w:r w:rsidR="008015B9">
        <w:rPr>
          <w:rFonts w:asciiTheme="majorHAnsi" w:hAnsiTheme="majorHAnsi"/>
          <w:sz w:val="22"/>
          <w:szCs w:val="22"/>
        </w:rPr>
        <w:t>a</w:t>
      </w:r>
      <w:r w:rsidRPr="002F0018">
        <w:rPr>
          <w:rFonts w:asciiTheme="majorHAnsi" w:hAnsiTheme="majorHAnsi"/>
          <w:sz w:val="22"/>
          <w:szCs w:val="22"/>
        </w:rPr>
        <w:t>o sujeito</w:t>
      </w:r>
      <w:r w:rsidR="008015B9">
        <w:rPr>
          <w:rFonts w:asciiTheme="majorHAnsi" w:hAnsiTheme="majorHAnsi"/>
          <w:sz w:val="22"/>
          <w:szCs w:val="22"/>
        </w:rPr>
        <w:t xml:space="preserve"> é reconhecido direitos</w:t>
      </w:r>
      <w:r w:rsidRPr="002F0018">
        <w:rPr>
          <w:rFonts w:asciiTheme="majorHAnsi" w:hAnsiTheme="majorHAnsi"/>
          <w:sz w:val="22"/>
          <w:szCs w:val="22"/>
        </w:rPr>
        <w:t xml:space="preserve">, mesmo não tendo participado da relação de consumo, </w:t>
      </w:r>
      <w:r w:rsidR="008015B9">
        <w:rPr>
          <w:rFonts w:asciiTheme="majorHAnsi" w:hAnsiTheme="majorHAnsi"/>
          <w:sz w:val="22"/>
          <w:szCs w:val="22"/>
        </w:rPr>
        <w:t>simplesmente por ter sido</w:t>
      </w:r>
      <w:r w:rsidRPr="002F0018">
        <w:rPr>
          <w:rFonts w:asciiTheme="majorHAnsi" w:hAnsiTheme="majorHAnsi"/>
          <w:sz w:val="22"/>
          <w:szCs w:val="22"/>
        </w:rPr>
        <w:t xml:space="preserve"> vitimado pelo evento danoso, </w:t>
      </w:r>
      <w:r w:rsidR="00D22752">
        <w:rPr>
          <w:rFonts w:asciiTheme="majorHAnsi" w:hAnsiTheme="majorHAnsi"/>
          <w:sz w:val="22"/>
          <w:szCs w:val="22"/>
        </w:rPr>
        <w:t xml:space="preserve">hipótese exemplificável com o público que frequenta a praça de alimentação de um centro de compras, mesmo que nada tenha adquirido de qualquer loja no momento da ocorrência do incidente causador do dano, </w:t>
      </w:r>
      <w:r w:rsidRPr="002F0018">
        <w:rPr>
          <w:rFonts w:asciiTheme="majorHAnsi" w:hAnsiTheme="majorHAnsi"/>
          <w:sz w:val="22"/>
          <w:szCs w:val="22"/>
        </w:rPr>
        <w:t>conforme se verifica na jurisprudência abaixo</w:t>
      </w:r>
      <w:r w:rsidR="00D22752">
        <w:rPr>
          <w:rFonts w:asciiTheme="majorHAnsi" w:hAnsiTheme="majorHAnsi"/>
          <w:sz w:val="22"/>
          <w:szCs w:val="22"/>
        </w:rPr>
        <w:t xml:space="preserve"> (STJ)</w:t>
      </w:r>
      <w:r w:rsidRPr="002F0018">
        <w:rPr>
          <w:rFonts w:asciiTheme="majorHAnsi" w:hAnsiTheme="majorHAnsi"/>
          <w:sz w:val="22"/>
          <w:szCs w:val="22"/>
        </w:rPr>
        <w:t>:</w:t>
      </w:r>
    </w:p>
    <w:p w14:paraId="5291D396" w14:textId="4A9EDDFC" w:rsidR="00A81DEA" w:rsidRPr="0075451A" w:rsidRDefault="00D22752" w:rsidP="00D22752">
      <w:pPr>
        <w:pStyle w:val="NormalWeb"/>
        <w:spacing w:after="0" w:line="240" w:lineRule="auto"/>
        <w:ind w:left="567" w:right="567" w:firstLine="567"/>
        <w:jc w:val="both"/>
        <w:rPr>
          <w:rFonts w:asciiTheme="majorHAnsi" w:hAnsiTheme="majorHAnsi" w:cs="Arial"/>
          <w:color w:val="000000"/>
          <w:sz w:val="18"/>
          <w:szCs w:val="18"/>
        </w:rPr>
      </w:pPr>
      <w:r>
        <w:rPr>
          <w:rFonts w:asciiTheme="majorHAnsi" w:hAnsiTheme="majorHAnsi" w:cs="Arial"/>
          <w:color w:val="000000"/>
          <w:sz w:val="18"/>
          <w:szCs w:val="18"/>
        </w:rPr>
        <w:lastRenderedPageBreak/>
        <w:t>“</w:t>
      </w:r>
      <w:r w:rsidR="00A81DEA" w:rsidRPr="0075451A">
        <w:rPr>
          <w:rFonts w:asciiTheme="majorHAnsi" w:hAnsiTheme="majorHAnsi" w:cs="Arial"/>
          <w:color w:val="000000"/>
          <w:sz w:val="18"/>
          <w:szCs w:val="18"/>
        </w:rPr>
        <w:t>Processo</w:t>
      </w:r>
      <w:r>
        <w:rPr>
          <w:rFonts w:asciiTheme="majorHAnsi" w:hAnsiTheme="majorHAnsi" w:cs="Arial"/>
          <w:color w:val="000000"/>
          <w:sz w:val="18"/>
          <w:szCs w:val="18"/>
        </w:rPr>
        <w:t xml:space="preserve"> </w:t>
      </w:r>
      <w:r w:rsidR="00A81DEA" w:rsidRPr="0075451A">
        <w:rPr>
          <w:rFonts w:asciiTheme="majorHAnsi" w:hAnsiTheme="majorHAnsi" w:cs="Arial"/>
          <w:color w:val="000000"/>
          <w:sz w:val="18"/>
          <w:szCs w:val="18"/>
        </w:rPr>
        <w:t>REsp 1370139 / SP</w:t>
      </w:r>
      <w:r>
        <w:rPr>
          <w:rFonts w:asciiTheme="majorHAnsi" w:hAnsiTheme="majorHAnsi" w:cs="Arial"/>
          <w:color w:val="000000"/>
          <w:sz w:val="18"/>
          <w:szCs w:val="18"/>
        </w:rPr>
        <w:t xml:space="preserve"> - </w:t>
      </w:r>
      <w:r w:rsidR="00A81DEA" w:rsidRPr="0075451A">
        <w:rPr>
          <w:rFonts w:asciiTheme="majorHAnsi" w:hAnsiTheme="majorHAnsi" w:cs="Arial"/>
          <w:color w:val="000000"/>
          <w:sz w:val="18"/>
          <w:szCs w:val="18"/>
        </w:rPr>
        <w:t>RECURSO ESPECIAL</w:t>
      </w:r>
      <w:r>
        <w:rPr>
          <w:rFonts w:asciiTheme="majorHAnsi" w:hAnsiTheme="majorHAnsi" w:cs="Arial"/>
          <w:color w:val="000000"/>
          <w:sz w:val="18"/>
          <w:szCs w:val="18"/>
        </w:rPr>
        <w:t xml:space="preserve"> </w:t>
      </w:r>
      <w:r w:rsidR="00A81DEA" w:rsidRPr="0075451A">
        <w:rPr>
          <w:rFonts w:asciiTheme="majorHAnsi" w:hAnsiTheme="majorHAnsi" w:cs="Arial"/>
          <w:color w:val="000000"/>
          <w:sz w:val="18"/>
          <w:szCs w:val="18"/>
        </w:rPr>
        <w:t xml:space="preserve">2012/0034625-0 </w:t>
      </w:r>
    </w:p>
    <w:p w14:paraId="3F6F05D2" w14:textId="77777777"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p>
    <w:p w14:paraId="387D68A6" w14:textId="17DE96AC"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Relator(a)</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Ministra NANCY ANDRIGHI (1118)</w:t>
      </w:r>
    </w:p>
    <w:p w14:paraId="3E2479C1" w14:textId="77777777"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p>
    <w:p w14:paraId="21AC979D" w14:textId="7931AD93"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Órgão Julgador</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T3 - TERCEIRA TURMA</w:t>
      </w:r>
    </w:p>
    <w:p w14:paraId="75413893" w14:textId="77777777"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p>
    <w:p w14:paraId="5FC25DCB" w14:textId="35A2A523"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do Julgamento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03/12/2013</w:t>
      </w:r>
    </w:p>
    <w:p w14:paraId="3E95201E" w14:textId="77777777"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p>
    <w:p w14:paraId="6DAB4D5F" w14:textId="01828B75" w:rsidR="00A81DEA" w:rsidRPr="0075451A" w:rsidRDefault="00A81DEA"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da Publicação/Fonte</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DJe 12/12/2013</w:t>
      </w:r>
      <w:r w:rsidR="00D22752">
        <w:rPr>
          <w:rFonts w:asciiTheme="majorHAnsi" w:hAnsiTheme="majorHAnsi" w:cs="Arial"/>
          <w:color w:val="000000"/>
          <w:sz w:val="18"/>
          <w:szCs w:val="18"/>
        </w:rPr>
        <w:t xml:space="preserve"> - </w:t>
      </w:r>
      <w:r w:rsidRPr="0075451A">
        <w:rPr>
          <w:rFonts w:asciiTheme="majorHAnsi" w:hAnsiTheme="majorHAnsi" w:cs="Arial"/>
          <w:color w:val="000000"/>
          <w:sz w:val="18"/>
          <w:szCs w:val="18"/>
        </w:rPr>
        <w:t>REVJUR vol. 434 p. 89</w:t>
      </w:r>
    </w:p>
    <w:p w14:paraId="5FC42FDE" w14:textId="77777777" w:rsidR="00A81DEA" w:rsidRPr="0075451A" w:rsidRDefault="00A81DEA" w:rsidP="00D22752">
      <w:pPr>
        <w:pStyle w:val="NormalWeb"/>
        <w:spacing w:after="0" w:line="240" w:lineRule="auto"/>
        <w:ind w:left="567" w:right="566" w:firstLine="567"/>
        <w:jc w:val="both"/>
        <w:rPr>
          <w:rFonts w:asciiTheme="majorHAnsi" w:hAnsiTheme="majorHAnsi" w:cs="Arial"/>
          <w:color w:val="000000"/>
          <w:sz w:val="18"/>
          <w:szCs w:val="18"/>
        </w:rPr>
      </w:pPr>
    </w:p>
    <w:p w14:paraId="046D4952" w14:textId="77777777" w:rsidR="00A81DEA" w:rsidRPr="0075451A" w:rsidRDefault="00A81DEA" w:rsidP="00D22752">
      <w:pPr>
        <w:pStyle w:val="NormalWeb"/>
        <w:spacing w:after="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Ementa</w:t>
      </w:r>
    </w:p>
    <w:p w14:paraId="6FA270F4" w14:textId="77777777" w:rsidR="00A81DEA" w:rsidRPr="0075451A" w:rsidRDefault="00A81DEA" w:rsidP="00D22752">
      <w:pPr>
        <w:pStyle w:val="NormalWeb"/>
        <w:spacing w:after="0" w:line="240" w:lineRule="auto"/>
        <w:ind w:left="567" w:right="566" w:firstLine="567"/>
        <w:jc w:val="both"/>
        <w:rPr>
          <w:rFonts w:asciiTheme="majorHAnsi" w:hAnsiTheme="majorHAnsi" w:cs="Arial"/>
          <w:color w:val="000000"/>
          <w:sz w:val="18"/>
          <w:szCs w:val="18"/>
        </w:rPr>
      </w:pPr>
    </w:p>
    <w:p w14:paraId="45D43A40" w14:textId="77777777" w:rsidR="00A81DEA" w:rsidRPr="0075451A" w:rsidRDefault="00A81DEA" w:rsidP="00D22752">
      <w:pPr>
        <w:pStyle w:val="NormalWeb"/>
        <w:spacing w:after="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CIVIL, PROCESSO CIVIL E CONSUMIDOR. ADMINISTRADORA DE SHOPPING CENTER. EXPLOSÃO POR VAZAMENTO DE GÁS. CADEIA DE FORNECIMENTO.</w:t>
      </w:r>
    </w:p>
    <w:p w14:paraId="5D6B840D" w14:textId="77777777" w:rsidR="00D22752" w:rsidRDefault="00D22752" w:rsidP="0075451A">
      <w:pPr>
        <w:pStyle w:val="NormalWeb"/>
        <w:spacing w:after="120" w:line="240" w:lineRule="auto"/>
        <w:ind w:left="567" w:right="566" w:firstLine="567"/>
        <w:jc w:val="both"/>
        <w:rPr>
          <w:rFonts w:asciiTheme="majorHAnsi" w:hAnsiTheme="majorHAnsi" w:cs="Arial"/>
          <w:color w:val="000000"/>
          <w:sz w:val="18"/>
          <w:szCs w:val="18"/>
        </w:rPr>
      </w:pPr>
    </w:p>
    <w:p w14:paraId="79CB7B98"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RESPONSABILIDADE SOLIDÁRIA. EMPREGADO DO FORNECEDOR. FIGURA DO CONSUMIDOR POR EQUIPARAÇÃO. APLICAÇÃO. IMPOSSIBILIDADE. EXISTÊNCIA DE RELAÇÃO JURÍDICA ESPECÍFICA. DANOS MORAIS. VALOR. REVISÃO EM SEDE DE RECURSO ESPECIAL. IMPOSSIBILIDADE. MONTANTE RAZOÁVEL.</w:t>
      </w:r>
    </w:p>
    <w:p w14:paraId="0E5167F7"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DISPOSITIVOS LEGAIS ANALISADOS: ARTS. 2º, 3º, 7º, PARÁGRAFO ÚNICO, 17 E 25 DO CDC; E 21, PARÁGRAFO ÚNICO, DO CPC.</w:t>
      </w:r>
    </w:p>
    <w:p w14:paraId="640E1804"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1. Ação ajuizada em 13.04.1999. Recurso especial concluso ao gabinete da Relatora em 14.03.2013.</w:t>
      </w:r>
    </w:p>
    <w:p w14:paraId="0BBC2E85"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2. Recurso especial em que se discute a extensão da figura do consumidor por equiparação prevista no art. 17 do CDC.</w:t>
      </w:r>
    </w:p>
    <w:p w14:paraId="4D51485B"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3. Os arts. 7º, parágrafo único, e 25 do CDC impõem a todos os integrantes da cadeia de fornecimento a responsabilidade solidária pelos danos causados por fato ou vício do produto ou serviço.</w:t>
      </w:r>
    </w:p>
    <w:p w14:paraId="4251B30F"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4. O art. 17 do CDC prevê a figura do consumidor por equiparação (</w:t>
      </w:r>
      <w:proofErr w:type="spellStart"/>
      <w:r w:rsidRPr="0075451A">
        <w:rPr>
          <w:rFonts w:asciiTheme="majorHAnsi" w:hAnsiTheme="majorHAnsi" w:cs="Arial"/>
          <w:color w:val="000000"/>
          <w:sz w:val="18"/>
          <w:szCs w:val="18"/>
        </w:rPr>
        <w:t>bystander</w:t>
      </w:r>
      <w:proofErr w:type="spellEnd"/>
      <w:r w:rsidRPr="0075451A">
        <w:rPr>
          <w:rFonts w:asciiTheme="majorHAnsi" w:hAnsiTheme="majorHAnsi" w:cs="Arial"/>
          <w:color w:val="000000"/>
          <w:sz w:val="18"/>
          <w:szCs w:val="18"/>
        </w:rPr>
        <w:t>), sujeitando à proteção do CDC aqueles que, embora não tenham participado diretamente da relação de consumo, sejam vítimas de evento danoso decorrente dessa relação. Todavia, caracterização do consumidor por equiparação possui como pressuposto a ausência de vínculo jurídico entre fornecedor e vítima; caso contrário, existente uma relação jurídica entre as partes, é com base nela que se deverá apurar eventual responsabilidade pelo evento danoso.</w:t>
      </w:r>
    </w:p>
    <w:p w14:paraId="534F24C8"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5. Hipótese em que fornecedor e vítima mantinham uma relação jurídica específica, de natureza trabalhista, circunstância que obsta a aplicação do art. 17 do CDC, impedindo seja a empregada equiparada à condição de consumidora frente à sua própria empregadora.</w:t>
      </w:r>
    </w:p>
    <w:p w14:paraId="1E4300CC"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6. A indenização por danos morais somente comporta revisão em sede de recurso especial nas hipóteses em que o valor fixado se mostrar irrisório ou excessivo. Precedentes.</w:t>
      </w:r>
    </w:p>
    <w:p w14:paraId="0B825A6B" w14:textId="77777777" w:rsidR="00A81DEA"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7. Nos termos do art. 21, parágrafo único, do CPC, se um litigante decair de parte mínima do pedido, o outro responderá, por inteiro, pelas verbas de sucumbência.</w:t>
      </w:r>
    </w:p>
    <w:p w14:paraId="22D37937" w14:textId="7AF31D9D" w:rsidR="00E96223" w:rsidRPr="0075451A" w:rsidRDefault="00A81DEA"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8. Recurso especial parcialmente conhecido e, nessa parte, desprovido.</w:t>
      </w:r>
      <w:r w:rsidR="00D22752">
        <w:rPr>
          <w:rFonts w:asciiTheme="majorHAnsi" w:hAnsiTheme="majorHAnsi" w:cs="Arial"/>
          <w:color w:val="000000"/>
          <w:sz w:val="18"/>
          <w:szCs w:val="18"/>
        </w:rPr>
        <w:t>”</w:t>
      </w:r>
    </w:p>
    <w:p w14:paraId="25DDEB41" w14:textId="77777777" w:rsidR="00E31700" w:rsidRDefault="00E31700" w:rsidP="00273F81">
      <w:pPr>
        <w:jc w:val="both"/>
        <w:rPr>
          <w:rFonts w:asciiTheme="majorHAnsi" w:hAnsiTheme="majorHAnsi" w:cs="Courier New"/>
          <w:sz w:val="22"/>
          <w:szCs w:val="22"/>
        </w:rPr>
      </w:pPr>
    </w:p>
    <w:p w14:paraId="469976AA" w14:textId="60602597" w:rsidR="00685CBD" w:rsidRPr="00DE1B27" w:rsidRDefault="00685CBD" w:rsidP="00685CBD">
      <w:pPr>
        <w:jc w:val="center"/>
        <w:rPr>
          <w:rFonts w:asciiTheme="majorHAnsi" w:hAnsiTheme="majorHAnsi" w:cs="Courier New"/>
          <w:b/>
          <w:sz w:val="22"/>
          <w:szCs w:val="22"/>
        </w:rPr>
      </w:pPr>
      <w:r w:rsidRPr="00DE1B27">
        <w:rPr>
          <w:rFonts w:asciiTheme="majorHAnsi" w:hAnsiTheme="majorHAnsi" w:cs="Courier New"/>
          <w:b/>
          <w:sz w:val="22"/>
          <w:szCs w:val="22"/>
        </w:rPr>
        <w:t>B – NO CAMPO PENAL (PRIVAÇÃO DE LIBERDADE)</w:t>
      </w:r>
    </w:p>
    <w:p w14:paraId="086A36EC" w14:textId="77777777" w:rsidR="00685CBD" w:rsidRPr="002F0018" w:rsidRDefault="00685CBD" w:rsidP="00273F81">
      <w:pPr>
        <w:jc w:val="both"/>
        <w:rPr>
          <w:rFonts w:asciiTheme="majorHAnsi" w:hAnsiTheme="majorHAnsi" w:cs="Courier New"/>
          <w:sz w:val="22"/>
          <w:szCs w:val="22"/>
        </w:rPr>
      </w:pPr>
    </w:p>
    <w:p w14:paraId="4D96DFE6" w14:textId="1255B377" w:rsidR="00E31700" w:rsidRPr="002F0018" w:rsidRDefault="00E31700" w:rsidP="002F0018">
      <w:pPr>
        <w:spacing w:after="240" w:line="360" w:lineRule="auto"/>
        <w:jc w:val="both"/>
        <w:rPr>
          <w:rFonts w:asciiTheme="majorHAnsi" w:hAnsiTheme="majorHAnsi"/>
          <w:sz w:val="22"/>
          <w:szCs w:val="22"/>
        </w:rPr>
      </w:pPr>
      <w:r w:rsidRPr="002F0018">
        <w:rPr>
          <w:rFonts w:asciiTheme="majorHAnsi" w:hAnsiTheme="majorHAnsi"/>
          <w:sz w:val="22"/>
          <w:szCs w:val="22"/>
        </w:rPr>
        <w:t xml:space="preserve">No campo penal, não há responsabilidade objetiva, de modo que a pessoa </w:t>
      </w:r>
      <w:r w:rsidR="008015B9" w:rsidRPr="002F0018">
        <w:rPr>
          <w:rFonts w:asciiTheme="majorHAnsi" w:hAnsiTheme="majorHAnsi"/>
          <w:sz w:val="22"/>
          <w:szCs w:val="22"/>
        </w:rPr>
        <w:t>(a pessoa ou pessoas</w:t>
      </w:r>
      <w:r w:rsidR="008015B9">
        <w:rPr>
          <w:rFonts w:asciiTheme="majorHAnsi" w:hAnsiTheme="majorHAnsi"/>
          <w:sz w:val="22"/>
          <w:szCs w:val="22"/>
        </w:rPr>
        <w:t>)</w:t>
      </w:r>
      <w:r w:rsidR="008015B9" w:rsidRPr="002F0018">
        <w:rPr>
          <w:rFonts w:asciiTheme="majorHAnsi" w:hAnsiTheme="majorHAnsi"/>
          <w:sz w:val="22"/>
          <w:szCs w:val="22"/>
        </w:rPr>
        <w:t xml:space="preserve"> que praticarem a conduta</w:t>
      </w:r>
      <w:r w:rsidR="008015B9">
        <w:rPr>
          <w:rFonts w:asciiTheme="majorHAnsi" w:hAnsiTheme="majorHAnsi"/>
          <w:sz w:val="22"/>
          <w:szCs w:val="22"/>
        </w:rPr>
        <w:t xml:space="preserve"> exteriorizada na forma de ação ou omissão</w:t>
      </w:r>
      <w:r w:rsidRPr="002F0018">
        <w:rPr>
          <w:rFonts w:asciiTheme="majorHAnsi" w:hAnsiTheme="majorHAnsi"/>
          <w:sz w:val="22"/>
          <w:szCs w:val="22"/>
        </w:rPr>
        <w:t xml:space="preserve"> </w:t>
      </w:r>
      <w:r w:rsidR="008015B9">
        <w:rPr>
          <w:rFonts w:asciiTheme="majorHAnsi" w:hAnsiTheme="majorHAnsi"/>
          <w:sz w:val="22"/>
          <w:szCs w:val="22"/>
        </w:rPr>
        <w:t xml:space="preserve">que </w:t>
      </w:r>
      <w:r w:rsidRPr="002F0018">
        <w:rPr>
          <w:rFonts w:asciiTheme="majorHAnsi" w:hAnsiTheme="majorHAnsi"/>
          <w:sz w:val="22"/>
          <w:szCs w:val="22"/>
        </w:rPr>
        <w:t>tiver nexo de causalidade com o resultado danoso sofrido pela vítima do crime, será a responsável.</w:t>
      </w:r>
    </w:p>
    <w:p w14:paraId="301858BE" w14:textId="1218AAD1" w:rsidR="00E31700" w:rsidRPr="002F0018" w:rsidRDefault="00851F60" w:rsidP="002F0018">
      <w:pPr>
        <w:spacing w:after="240" w:line="360" w:lineRule="auto"/>
        <w:jc w:val="both"/>
        <w:rPr>
          <w:rFonts w:asciiTheme="majorHAnsi" w:hAnsiTheme="majorHAnsi"/>
          <w:sz w:val="22"/>
          <w:szCs w:val="22"/>
        </w:rPr>
      </w:pPr>
      <w:r w:rsidRPr="002F0018">
        <w:rPr>
          <w:rFonts w:asciiTheme="majorHAnsi" w:hAnsiTheme="majorHAnsi"/>
          <w:sz w:val="22"/>
          <w:szCs w:val="22"/>
        </w:rPr>
        <w:t>De acordo com o art. 13, do Código Penal</w:t>
      </w:r>
      <w:r w:rsidR="00685CBD">
        <w:rPr>
          <w:rFonts w:asciiTheme="majorHAnsi" w:hAnsiTheme="majorHAnsi"/>
          <w:sz w:val="22"/>
          <w:szCs w:val="22"/>
        </w:rPr>
        <w:t>,</w:t>
      </w:r>
      <w:r w:rsidRPr="002F0018">
        <w:rPr>
          <w:rFonts w:asciiTheme="majorHAnsi" w:hAnsiTheme="majorHAnsi"/>
          <w:sz w:val="22"/>
          <w:szCs w:val="22"/>
        </w:rPr>
        <w:t xml:space="preserve"> somente há imputação a quem pratique conduta (ação ou omissão) sem a qual o resultado não teria ocorrido. </w:t>
      </w:r>
      <w:r w:rsidR="00D95E3E" w:rsidRPr="002F0018">
        <w:rPr>
          <w:rFonts w:asciiTheme="majorHAnsi" w:hAnsiTheme="majorHAnsi"/>
          <w:sz w:val="22"/>
          <w:szCs w:val="22"/>
        </w:rPr>
        <w:t xml:space="preserve">No entanto, este artigo deve </w:t>
      </w:r>
      <w:r w:rsidR="00D95E3E" w:rsidRPr="002F0018">
        <w:rPr>
          <w:rFonts w:asciiTheme="majorHAnsi" w:hAnsiTheme="majorHAnsi"/>
          <w:sz w:val="22"/>
          <w:szCs w:val="22"/>
        </w:rPr>
        <w:lastRenderedPageBreak/>
        <w:t xml:space="preserve">levar em conta a existência de dolo </w:t>
      </w:r>
      <w:r w:rsidR="008015B9">
        <w:rPr>
          <w:rStyle w:val="FootnoteReference"/>
          <w:rFonts w:asciiTheme="majorHAnsi" w:hAnsiTheme="majorHAnsi"/>
          <w:sz w:val="22"/>
          <w:szCs w:val="22"/>
        </w:rPr>
        <w:footnoteReference w:id="4"/>
      </w:r>
      <w:r w:rsidR="008015B9">
        <w:rPr>
          <w:rFonts w:asciiTheme="majorHAnsi" w:hAnsiTheme="majorHAnsi"/>
          <w:sz w:val="22"/>
          <w:szCs w:val="22"/>
        </w:rPr>
        <w:t xml:space="preserve"> </w:t>
      </w:r>
      <w:r w:rsidR="00D95E3E" w:rsidRPr="002F0018">
        <w:rPr>
          <w:rFonts w:asciiTheme="majorHAnsi" w:hAnsiTheme="majorHAnsi"/>
          <w:sz w:val="22"/>
          <w:szCs w:val="22"/>
        </w:rPr>
        <w:t xml:space="preserve">ou culpa do agente, bem como a relevância da omissão por ele praticada. </w:t>
      </w:r>
      <w:r w:rsidRPr="002F0018">
        <w:rPr>
          <w:rFonts w:asciiTheme="majorHAnsi" w:hAnsiTheme="majorHAnsi"/>
          <w:sz w:val="22"/>
          <w:szCs w:val="22"/>
        </w:rPr>
        <w:t>Diz o artigo:</w:t>
      </w:r>
    </w:p>
    <w:p w14:paraId="311130DD" w14:textId="77777777" w:rsidR="00D95E3E" w:rsidRPr="0075451A" w:rsidRDefault="009C7B6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“Art. 13 - O resultado, de que depende a existência do crime, somente é imputável a quem lhe deu causa. Considera-se causa a ação ou omissão sem a qual o resultado não teria ocorrido.</w:t>
      </w:r>
    </w:p>
    <w:p w14:paraId="7B8C5ED4" w14:textId="77777777" w:rsidR="00D95E3E" w:rsidRPr="0075451A" w:rsidRDefault="00D95E3E"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531EF555" w14:textId="77777777" w:rsidR="002833C3" w:rsidRPr="0075451A" w:rsidRDefault="002833C3"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 2º - A omissão é penalmente relevante quando o omitente devia e podia agir para evitar o resultado. O dever de agir incumbe a quem: </w:t>
      </w:r>
    </w:p>
    <w:p w14:paraId="65B6A3B4" w14:textId="77777777" w:rsidR="002833C3" w:rsidRPr="0075451A" w:rsidRDefault="002833C3"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 tenha por lei obrigação de cuidado, proteção ou vigilância;</w:t>
      </w:r>
    </w:p>
    <w:p w14:paraId="2AB32AD3" w14:textId="77777777" w:rsidR="002833C3" w:rsidRPr="0075451A" w:rsidRDefault="002833C3"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b) de outra forma, assumiu a responsabilidade de impedir o resultado; </w:t>
      </w:r>
    </w:p>
    <w:p w14:paraId="367EB2D9" w14:textId="77777777" w:rsidR="00851F60" w:rsidRPr="0075451A" w:rsidRDefault="002833C3"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c) com seu comportamento anterior, criou o risco da ocorrência do resultado.</w:t>
      </w:r>
      <w:r w:rsidR="009C7B61" w:rsidRPr="0075451A">
        <w:rPr>
          <w:rFonts w:asciiTheme="majorHAnsi" w:hAnsiTheme="majorHAnsi" w:cs="Arial"/>
          <w:color w:val="000000"/>
          <w:sz w:val="18"/>
          <w:szCs w:val="18"/>
        </w:rPr>
        <w:t>”</w:t>
      </w:r>
    </w:p>
    <w:p w14:paraId="35A012A3" w14:textId="77777777" w:rsidR="009C7B61" w:rsidRPr="002F0018" w:rsidRDefault="009C7B61" w:rsidP="009C7B61">
      <w:pPr>
        <w:pStyle w:val="NormalWeb"/>
        <w:spacing w:after="120" w:line="240" w:lineRule="auto"/>
        <w:ind w:left="2268"/>
        <w:jc w:val="both"/>
        <w:rPr>
          <w:rFonts w:asciiTheme="majorHAnsi" w:hAnsiTheme="majorHAnsi" w:cs="Arial"/>
          <w:color w:val="000000"/>
          <w:sz w:val="22"/>
          <w:szCs w:val="22"/>
        </w:rPr>
      </w:pPr>
    </w:p>
    <w:p w14:paraId="58F7CEF4" w14:textId="77777777" w:rsidR="00851F60" w:rsidRPr="002F0018" w:rsidRDefault="002459D6" w:rsidP="002F0018">
      <w:pPr>
        <w:spacing w:after="240" w:line="360" w:lineRule="auto"/>
        <w:jc w:val="both"/>
        <w:rPr>
          <w:rFonts w:asciiTheme="majorHAnsi" w:hAnsiTheme="majorHAnsi"/>
          <w:sz w:val="22"/>
          <w:szCs w:val="22"/>
        </w:rPr>
      </w:pPr>
      <w:r w:rsidRPr="002F0018">
        <w:rPr>
          <w:rFonts w:asciiTheme="majorHAnsi" w:hAnsiTheme="majorHAnsi"/>
          <w:sz w:val="22"/>
          <w:szCs w:val="22"/>
        </w:rPr>
        <w:t>Analisando o referido artigo</w:t>
      </w:r>
      <w:r w:rsidR="004A0E7F" w:rsidRPr="002F0018">
        <w:rPr>
          <w:rFonts w:asciiTheme="majorHAnsi" w:hAnsiTheme="majorHAnsi"/>
          <w:sz w:val="22"/>
          <w:szCs w:val="22"/>
        </w:rPr>
        <w:t xml:space="preserve"> em caso relacionado a uma clínica médica, o STJ decidiu pela possibilidade de se imputar conduta omissiva a gerentes e sócios, pois deviam e podiam evitar o resultado. Confira-se:</w:t>
      </w:r>
    </w:p>
    <w:p w14:paraId="72A37595" w14:textId="1DB61855"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“Processo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HC 269769 / RJ</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HABEAS CORPUS</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2013/0132919-6</w:t>
      </w:r>
    </w:p>
    <w:p w14:paraId="03E2CE4B"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p>
    <w:p w14:paraId="2995C518" w14:textId="446D98CA"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Relator(a)</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 xml:space="preserve"> Ministro SEBASTIÃO REIS JÚNIOR (1148)</w:t>
      </w:r>
    </w:p>
    <w:p w14:paraId="71B6E79B"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p>
    <w:p w14:paraId="5E3709A1" w14:textId="2C785B5B"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 xml:space="preserve">Órgão Julgador </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T6 - SEXTA TURMA</w:t>
      </w:r>
    </w:p>
    <w:p w14:paraId="00795CB5"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p>
    <w:p w14:paraId="7F8CEF9F" w14:textId="3478DA14"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do Julgamento</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16/09/2014</w:t>
      </w:r>
    </w:p>
    <w:p w14:paraId="5CD19162"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p>
    <w:p w14:paraId="5AB7A611" w14:textId="0556ED26"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Data da Publicação/Fonte</w:t>
      </w:r>
      <w:r w:rsidR="00D22752">
        <w:rPr>
          <w:rFonts w:asciiTheme="majorHAnsi" w:hAnsiTheme="majorHAnsi" w:cs="Arial"/>
          <w:color w:val="000000"/>
          <w:sz w:val="18"/>
          <w:szCs w:val="18"/>
        </w:rPr>
        <w:t xml:space="preserve"> </w:t>
      </w:r>
      <w:r w:rsidRPr="0075451A">
        <w:rPr>
          <w:rFonts w:asciiTheme="majorHAnsi" w:hAnsiTheme="majorHAnsi" w:cs="Arial"/>
          <w:color w:val="000000"/>
          <w:sz w:val="18"/>
          <w:szCs w:val="18"/>
        </w:rPr>
        <w:t>DJe 01/10/2014</w:t>
      </w:r>
    </w:p>
    <w:p w14:paraId="526AC506"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p>
    <w:p w14:paraId="651551C4" w14:textId="77777777" w:rsidR="00170FF5" w:rsidRPr="0075451A" w:rsidRDefault="00170FF5" w:rsidP="00D22752">
      <w:pPr>
        <w:pStyle w:val="NormalWeb"/>
        <w:spacing w:after="0" w:line="240" w:lineRule="auto"/>
        <w:ind w:left="567" w:right="567"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Ementa</w:t>
      </w:r>
    </w:p>
    <w:p w14:paraId="7DEEBD31" w14:textId="77777777" w:rsidR="00170FF5" w:rsidRPr="002F0018" w:rsidRDefault="00170FF5" w:rsidP="00170FF5">
      <w:pPr>
        <w:jc w:val="both"/>
        <w:rPr>
          <w:rFonts w:asciiTheme="majorHAnsi" w:hAnsiTheme="majorHAnsi"/>
          <w:b/>
          <w:bCs/>
          <w:sz w:val="22"/>
          <w:szCs w:val="22"/>
        </w:rPr>
      </w:pPr>
    </w:p>
    <w:p w14:paraId="4ADCFDB5"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HABEAS CORPUS. SUCEDÂNEO RECURSAL. INADMISSIBILIDADE.</w:t>
      </w:r>
    </w:p>
    <w:p w14:paraId="1AFDDACE"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CONSTRANGIMENTO ILEGAL INEXISTENTE. MAUS TRATOS. RESULTADO MORTE.</w:t>
      </w:r>
    </w:p>
    <w:p w14:paraId="17BFC058"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CONDUTA OMISSIVA. INÉPCIA DA DENÚNCIA NÃO CONFIGURADA. TESE DEBATIDA EM WRIT ANTERIOR.</w:t>
      </w:r>
    </w:p>
    <w:p w14:paraId="3242A997"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1. O Supremo Tribunal Federal e o Superior Tribunal de Justiça não têm mais admitido o habeas corpus como sucedâneo do meio processual adequado, seja o recurso ou a revisão criminal, salvo em situações excepcionais.</w:t>
      </w:r>
    </w:p>
    <w:p w14:paraId="4270D37B"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2. Teses de inépcia da denúncia e de responsabilidade objetiva já enfrentadas por esta Corte no HC n. 23.362/RJ, impetrado por corréu em idêntica situação fático-processual (administrador da clínica), com os mesmos poderes.</w:t>
      </w:r>
    </w:p>
    <w:p w14:paraId="7D6DF66A"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3. Denúncia que observou os requisitos descritos no art. 41 do Código de Processo Penal, uma vez que os fatos se encontram perfeitamente delimitados na peça acusatória, possibilitando o exercício da ampla defesa. Proferida a sentença, perde força a alegação de inépcia da denúncia, ainda mais porque, para concluir de modo diferente neste momento, seria indispensável o reexame aprofundado de fatos e provas, procedimento incompatível com esta via. Precedente.</w:t>
      </w:r>
    </w:p>
    <w:p w14:paraId="7E932D73"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4. O paciente, na condição de sócio, gerente e administrador da Clinica Santa Genoveva Ltda., tinha os pacientes sob sua guarda e vigilância para fins de tratamento, além de deter o poder de mando e decisão sobre as medidas a serem adotadas no interesse da saúde, da alimentação e do bem-estar daqueles. Sua condição de garantidor decorre da alínea b do § 2º do art. 13 do Código Penal. Conduta omissiva que deu causa aos fatos delituosos. Inserção em matéria fática. Impossibilidade.</w:t>
      </w:r>
    </w:p>
    <w:p w14:paraId="6F43992C" w14:textId="77777777" w:rsidR="00170FF5"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lastRenderedPageBreak/>
        <w:t>5. Dosimetria da pena em conformidade com os ditames do art. 59 do Código Penal.</w:t>
      </w:r>
    </w:p>
    <w:p w14:paraId="0F582BB1" w14:textId="77777777" w:rsidR="004A0E7F" w:rsidRPr="0075451A" w:rsidRDefault="00170FF5"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6. Habeas corpus não conhecido, cassada a liminar.”</w:t>
      </w:r>
    </w:p>
    <w:p w14:paraId="4490DEC5" w14:textId="77777777" w:rsidR="00170FF5" w:rsidRPr="002F0018" w:rsidRDefault="00170FF5" w:rsidP="00170FF5">
      <w:pPr>
        <w:jc w:val="both"/>
        <w:rPr>
          <w:rFonts w:asciiTheme="majorHAnsi" w:hAnsiTheme="majorHAnsi" w:cs="Courier New"/>
          <w:sz w:val="22"/>
          <w:szCs w:val="22"/>
        </w:rPr>
      </w:pPr>
    </w:p>
    <w:p w14:paraId="04BF119F" w14:textId="306D9770" w:rsidR="00170FF5" w:rsidRPr="002F0018" w:rsidRDefault="00F868CE" w:rsidP="002F0018">
      <w:pPr>
        <w:spacing w:after="240" w:line="360" w:lineRule="auto"/>
        <w:jc w:val="both"/>
        <w:rPr>
          <w:rFonts w:asciiTheme="majorHAnsi" w:hAnsiTheme="majorHAnsi"/>
          <w:sz w:val="22"/>
          <w:szCs w:val="22"/>
        </w:rPr>
      </w:pPr>
      <w:r w:rsidRPr="002F0018">
        <w:rPr>
          <w:rFonts w:asciiTheme="majorHAnsi" w:hAnsiTheme="majorHAnsi"/>
          <w:sz w:val="22"/>
          <w:szCs w:val="22"/>
        </w:rPr>
        <w:t>Admitindo-se a hipótese de ocorrência de incêndio em instalações de Shoppings Center, e, admitindo-se</w:t>
      </w:r>
      <w:r w:rsidR="008015B9">
        <w:rPr>
          <w:rFonts w:asciiTheme="majorHAnsi" w:hAnsiTheme="majorHAnsi"/>
          <w:sz w:val="22"/>
          <w:szCs w:val="22"/>
        </w:rPr>
        <w:t>,</w:t>
      </w:r>
      <w:r w:rsidRPr="002F0018">
        <w:rPr>
          <w:rFonts w:asciiTheme="majorHAnsi" w:hAnsiTheme="majorHAnsi"/>
          <w:sz w:val="22"/>
          <w:szCs w:val="22"/>
        </w:rPr>
        <w:t xml:space="preserve"> ainda</w:t>
      </w:r>
      <w:r w:rsidR="008015B9">
        <w:rPr>
          <w:rFonts w:asciiTheme="majorHAnsi" w:hAnsiTheme="majorHAnsi"/>
          <w:sz w:val="22"/>
          <w:szCs w:val="22"/>
        </w:rPr>
        <w:t>,</w:t>
      </w:r>
      <w:r w:rsidRPr="002F0018">
        <w:rPr>
          <w:rFonts w:asciiTheme="majorHAnsi" w:hAnsiTheme="majorHAnsi"/>
          <w:sz w:val="22"/>
          <w:szCs w:val="22"/>
        </w:rPr>
        <w:t xml:space="preserve"> a hipótese de que referido incêndio tenha, comprovadamente, como uma de suas causas</w:t>
      </w:r>
      <w:r w:rsidR="008015B9">
        <w:rPr>
          <w:rFonts w:asciiTheme="majorHAnsi" w:hAnsiTheme="majorHAnsi"/>
          <w:sz w:val="22"/>
          <w:szCs w:val="22"/>
        </w:rPr>
        <w:t>,</w:t>
      </w:r>
      <w:r w:rsidRPr="002F0018">
        <w:rPr>
          <w:rFonts w:asciiTheme="majorHAnsi" w:hAnsiTheme="majorHAnsi"/>
          <w:sz w:val="22"/>
          <w:szCs w:val="22"/>
        </w:rPr>
        <w:t xml:space="preserve"> a ausência de adequada limpeza em dutos </w:t>
      </w:r>
      <w:r w:rsidR="00685CBD">
        <w:rPr>
          <w:rFonts w:asciiTheme="majorHAnsi" w:hAnsiTheme="majorHAnsi"/>
          <w:sz w:val="22"/>
          <w:szCs w:val="22"/>
        </w:rPr>
        <w:t xml:space="preserve">de exaustão de cozinhas profissionais </w:t>
      </w:r>
      <w:r w:rsidRPr="002F0018">
        <w:rPr>
          <w:rFonts w:asciiTheme="majorHAnsi" w:hAnsiTheme="majorHAnsi"/>
          <w:sz w:val="22"/>
          <w:szCs w:val="22"/>
        </w:rPr>
        <w:t xml:space="preserve">existentes nas instalações do prédio, </w:t>
      </w:r>
      <w:r w:rsidR="0018631E" w:rsidRPr="002F0018">
        <w:rPr>
          <w:rFonts w:asciiTheme="majorHAnsi" w:hAnsiTheme="majorHAnsi"/>
          <w:sz w:val="22"/>
          <w:szCs w:val="22"/>
        </w:rPr>
        <w:t>tal ocorrência de incêndio pode configurar, também em tese, os seguintes delitos penais:</w:t>
      </w:r>
    </w:p>
    <w:p w14:paraId="3113C360" w14:textId="77777777" w:rsidR="0018631E" w:rsidRPr="002F0018" w:rsidRDefault="00C15130" w:rsidP="004C7170">
      <w:pPr>
        <w:pStyle w:val="ListParagraph"/>
        <w:numPr>
          <w:ilvl w:val="0"/>
          <w:numId w:val="6"/>
        </w:numPr>
        <w:spacing w:after="240" w:line="360" w:lineRule="auto"/>
        <w:ind w:left="357" w:hanging="357"/>
        <w:jc w:val="both"/>
        <w:rPr>
          <w:rFonts w:asciiTheme="majorHAnsi" w:hAnsiTheme="majorHAnsi"/>
          <w:sz w:val="22"/>
          <w:szCs w:val="22"/>
        </w:rPr>
      </w:pPr>
      <w:r w:rsidRPr="002F0018">
        <w:rPr>
          <w:rFonts w:asciiTheme="majorHAnsi" w:hAnsiTheme="majorHAnsi"/>
          <w:sz w:val="22"/>
          <w:szCs w:val="22"/>
        </w:rPr>
        <w:t>Incêndio, tipificado no art. 250, do Código Penal:</w:t>
      </w:r>
    </w:p>
    <w:p w14:paraId="5E3AFFB5"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“Incêndio</w:t>
      </w:r>
    </w:p>
    <w:p w14:paraId="1870A7AF"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1" w:name="art250"/>
      <w:bookmarkEnd w:id="1"/>
      <w:r w:rsidRPr="0075451A">
        <w:rPr>
          <w:rFonts w:asciiTheme="majorHAnsi" w:hAnsiTheme="majorHAnsi" w:cs="Arial"/>
          <w:color w:val="000000"/>
          <w:sz w:val="18"/>
          <w:szCs w:val="18"/>
        </w:rPr>
        <w:t>Art. 250 - Causar incêndio, expondo a perigo a vida, a integridade física ou o patrimônio de outrem:</w:t>
      </w:r>
    </w:p>
    <w:p w14:paraId="34DDB1C0"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três a seis anos, e multa.</w:t>
      </w:r>
    </w:p>
    <w:p w14:paraId="37F8F009"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Aumento de pena</w:t>
      </w:r>
    </w:p>
    <w:p w14:paraId="641D6894"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2" w:name="art250§1"/>
      <w:bookmarkEnd w:id="2"/>
      <w:r w:rsidRPr="0075451A">
        <w:rPr>
          <w:rFonts w:asciiTheme="majorHAnsi" w:hAnsiTheme="majorHAnsi" w:cs="Arial"/>
          <w:color w:val="000000"/>
          <w:sz w:val="18"/>
          <w:szCs w:val="18"/>
        </w:rPr>
        <w:t>§ 1º - As penas aumentam-se de um terço:</w:t>
      </w:r>
    </w:p>
    <w:p w14:paraId="5741D167"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3" w:name="art250§1i"/>
      <w:bookmarkEnd w:id="3"/>
      <w:r w:rsidRPr="0075451A">
        <w:rPr>
          <w:rFonts w:asciiTheme="majorHAnsi" w:hAnsiTheme="majorHAnsi" w:cs="Arial"/>
          <w:color w:val="000000"/>
          <w:sz w:val="18"/>
          <w:szCs w:val="18"/>
        </w:rPr>
        <w:t>I - se o crime é cometido com intuito de obter vantagem pecuniária em proveito próprio ou alheio;</w:t>
      </w:r>
    </w:p>
    <w:p w14:paraId="130B3BE1"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4" w:name="art250§1ii"/>
      <w:bookmarkEnd w:id="4"/>
      <w:r w:rsidRPr="0075451A">
        <w:rPr>
          <w:rFonts w:asciiTheme="majorHAnsi" w:hAnsiTheme="majorHAnsi" w:cs="Arial"/>
          <w:color w:val="000000"/>
          <w:sz w:val="18"/>
          <w:szCs w:val="18"/>
        </w:rPr>
        <w:t>II - se o incêndio é:</w:t>
      </w:r>
    </w:p>
    <w:p w14:paraId="3104E9F3"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5" w:name="art250§1iia"/>
      <w:bookmarkEnd w:id="5"/>
      <w:r w:rsidRPr="0075451A">
        <w:rPr>
          <w:rFonts w:asciiTheme="majorHAnsi" w:hAnsiTheme="majorHAnsi" w:cs="Arial"/>
          <w:color w:val="000000"/>
          <w:sz w:val="18"/>
          <w:szCs w:val="18"/>
        </w:rPr>
        <w:t>a) em casa habitada ou destinada a habitação;</w:t>
      </w:r>
    </w:p>
    <w:p w14:paraId="248FE67F"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6" w:name="art250§1iib"/>
      <w:bookmarkEnd w:id="6"/>
      <w:r w:rsidRPr="0075451A">
        <w:rPr>
          <w:rFonts w:asciiTheme="majorHAnsi" w:hAnsiTheme="majorHAnsi" w:cs="Arial"/>
          <w:color w:val="000000"/>
          <w:sz w:val="18"/>
          <w:szCs w:val="18"/>
        </w:rPr>
        <w:t>b) em edifício público ou destinado a uso público ou a obra de assistência social ou de cultura;</w:t>
      </w:r>
    </w:p>
    <w:p w14:paraId="3F8A5A19"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7" w:name="art250§1iic"/>
      <w:bookmarkEnd w:id="7"/>
      <w:r w:rsidRPr="0075451A">
        <w:rPr>
          <w:rFonts w:asciiTheme="majorHAnsi" w:hAnsiTheme="majorHAnsi" w:cs="Arial"/>
          <w:color w:val="000000"/>
          <w:sz w:val="18"/>
          <w:szCs w:val="18"/>
        </w:rPr>
        <w:t>c) em embarcação, aeronave, comboio ou veículo de transporte coletivo;</w:t>
      </w:r>
    </w:p>
    <w:p w14:paraId="39AF4142"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8" w:name="art250§1iid"/>
      <w:bookmarkEnd w:id="8"/>
      <w:r w:rsidRPr="0075451A">
        <w:rPr>
          <w:rFonts w:asciiTheme="majorHAnsi" w:hAnsiTheme="majorHAnsi" w:cs="Arial"/>
          <w:color w:val="000000"/>
          <w:sz w:val="18"/>
          <w:szCs w:val="18"/>
        </w:rPr>
        <w:t>d) em estação ferroviária ou aeródromo;</w:t>
      </w:r>
    </w:p>
    <w:p w14:paraId="13674218"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9" w:name="art250§1iie"/>
      <w:bookmarkEnd w:id="9"/>
      <w:r w:rsidRPr="0075451A">
        <w:rPr>
          <w:rFonts w:asciiTheme="majorHAnsi" w:hAnsiTheme="majorHAnsi" w:cs="Arial"/>
          <w:color w:val="000000"/>
          <w:sz w:val="18"/>
          <w:szCs w:val="18"/>
        </w:rPr>
        <w:t>e) em estaleiro, fábrica ou oficina;</w:t>
      </w:r>
    </w:p>
    <w:p w14:paraId="7B5F4046"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10" w:name="art250§1iif"/>
      <w:bookmarkEnd w:id="10"/>
      <w:r w:rsidRPr="0075451A">
        <w:rPr>
          <w:rFonts w:asciiTheme="majorHAnsi" w:hAnsiTheme="majorHAnsi" w:cs="Arial"/>
          <w:color w:val="000000"/>
          <w:sz w:val="18"/>
          <w:szCs w:val="18"/>
        </w:rPr>
        <w:t>f) em depósito de explosivo, combustível ou inflamável;</w:t>
      </w:r>
    </w:p>
    <w:p w14:paraId="1031A80E"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11" w:name="art250§1iig"/>
      <w:bookmarkEnd w:id="11"/>
      <w:r w:rsidRPr="0075451A">
        <w:rPr>
          <w:rFonts w:asciiTheme="majorHAnsi" w:hAnsiTheme="majorHAnsi" w:cs="Arial"/>
          <w:color w:val="000000"/>
          <w:sz w:val="18"/>
          <w:szCs w:val="18"/>
        </w:rPr>
        <w:t xml:space="preserve">g) em poço </w:t>
      </w:r>
      <w:proofErr w:type="spellStart"/>
      <w:r w:rsidRPr="0075451A">
        <w:rPr>
          <w:rFonts w:asciiTheme="majorHAnsi" w:hAnsiTheme="majorHAnsi" w:cs="Arial"/>
          <w:color w:val="000000"/>
          <w:sz w:val="18"/>
          <w:szCs w:val="18"/>
        </w:rPr>
        <w:t>petrolífico</w:t>
      </w:r>
      <w:proofErr w:type="spellEnd"/>
      <w:r w:rsidRPr="0075451A">
        <w:rPr>
          <w:rFonts w:asciiTheme="majorHAnsi" w:hAnsiTheme="majorHAnsi" w:cs="Arial"/>
          <w:color w:val="000000"/>
          <w:sz w:val="18"/>
          <w:szCs w:val="18"/>
        </w:rPr>
        <w:t xml:space="preserve"> ou galeria de mineração;</w:t>
      </w:r>
    </w:p>
    <w:p w14:paraId="5C08E6D8"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12" w:name="art250§1iih"/>
      <w:bookmarkEnd w:id="12"/>
      <w:r w:rsidRPr="0075451A">
        <w:rPr>
          <w:rFonts w:asciiTheme="majorHAnsi" w:hAnsiTheme="majorHAnsi" w:cs="Arial"/>
          <w:color w:val="000000"/>
          <w:sz w:val="18"/>
          <w:szCs w:val="18"/>
        </w:rPr>
        <w:t>h) em lavoura, pastagem, mata ou floresta.</w:t>
      </w:r>
    </w:p>
    <w:p w14:paraId="5C8CCA6D"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Incêndio culposo</w:t>
      </w:r>
    </w:p>
    <w:p w14:paraId="203EAF43" w14:textId="77777777" w:rsidR="009F0ED1" w:rsidRPr="0075451A" w:rsidRDefault="009F0ED1" w:rsidP="0075451A">
      <w:pPr>
        <w:pStyle w:val="NormalWeb"/>
        <w:spacing w:after="120" w:line="240" w:lineRule="auto"/>
        <w:ind w:left="567" w:right="566" w:firstLine="567"/>
        <w:jc w:val="both"/>
        <w:rPr>
          <w:rFonts w:asciiTheme="majorHAnsi" w:hAnsiTheme="majorHAnsi" w:cs="Arial"/>
          <w:color w:val="000000"/>
          <w:sz w:val="18"/>
          <w:szCs w:val="18"/>
        </w:rPr>
      </w:pPr>
      <w:bookmarkStart w:id="13" w:name="art250§2"/>
      <w:bookmarkEnd w:id="13"/>
      <w:r w:rsidRPr="0075451A">
        <w:rPr>
          <w:rFonts w:asciiTheme="majorHAnsi" w:hAnsiTheme="majorHAnsi" w:cs="Arial"/>
          <w:color w:val="000000"/>
          <w:sz w:val="18"/>
          <w:szCs w:val="18"/>
        </w:rPr>
        <w:t>§ 2º - Se culposo o incêndio, é pena de detenção, de 6 (seis) meses a 2 (dois) anos.”</w:t>
      </w:r>
    </w:p>
    <w:p w14:paraId="1FD653E4" w14:textId="77777777" w:rsidR="00C15130" w:rsidRPr="002F0018" w:rsidRDefault="00C15130" w:rsidP="00C15130">
      <w:pPr>
        <w:spacing w:after="240" w:line="360" w:lineRule="auto"/>
        <w:ind w:left="2268"/>
        <w:jc w:val="both"/>
        <w:rPr>
          <w:rFonts w:asciiTheme="majorHAnsi" w:hAnsiTheme="majorHAnsi"/>
          <w:sz w:val="22"/>
          <w:szCs w:val="22"/>
        </w:rPr>
      </w:pPr>
    </w:p>
    <w:p w14:paraId="7C5D0E4B" w14:textId="77777777" w:rsidR="00C15130" w:rsidRPr="002F0018" w:rsidRDefault="009170C2" w:rsidP="004C7170">
      <w:pPr>
        <w:pStyle w:val="ListParagraph"/>
        <w:numPr>
          <w:ilvl w:val="0"/>
          <w:numId w:val="6"/>
        </w:numPr>
        <w:spacing w:after="240" w:line="360" w:lineRule="auto"/>
        <w:ind w:left="357" w:hanging="357"/>
        <w:jc w:val="both"/>
        <w:rPr>
          <w:rFonts w:asciiTheme="majorHAnsi" w:hAnsiTheme="majorHAnsi"/>
          <w:sz w:val="22"/>
          <w:szCs w:val="22"/>
        </w:rPr>
      </w:pPr>
      <w:r w:rsidRPr="002F0018">
        <w:rPr>
          <w:rFonts w:asciiTheme="majorHAnsi" w:hAnsiTheme="majorHAnsi"/>
          <w:sz w:val="22"/>
          <w:szCs w:val="22"/>
        </w:rPr>
        <w:t>Lesão corporal, tipificada no art. 129, do Código Penal:</w:t>
      </w:r>
    </w:p>
    <w:p w14:paraId="18FA437E"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“Lesão corporal</w:t>
      </w:r>
    </w:p>
    <w:p w14:paraId="53FBF025"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14" w:name="art129"/>
      <w:bookmarkEnd w:id="14"/>
      <w:r w:rsidRPr="0075451A">
        <w:rPr>
          <w:rFonts w:asciiTheme="majorHAnsi" w:hAnsiTheme="majorHAnsi" w:cs="Arial"/>
          <w:color w:val="000000"/>
          <w:sz w:val="18"/>
          <w:szCs w:val="18"/>
        </w:rPr>
        <w:t>Art. 129. Ofender a integridade corporal ou a saúde de outrem:</w:t>
      </w:r>
    </w:p>
    <w:p w14:paraId="03389E33"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detenção, de três meses a um ano.</w:t>
      </w:r>
    </w:p>
    <w:p w14:paraId="2E19CD71"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Lesão corporal de natureza grave</w:t>
      </w:r>
    </w:p>
    <w:p w14:paraId="2EEB2366"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15" w:name="art129§1"/>
      <w:bookmarkEnd w:id="15"/>
      <w:r w:rsidRPr="0075451A">
        <w:rPr>
          <w:rFonts w:asciiTheme="majorHAnsi" w:hAnsiTheme="majorHAnsi" w:cs="Arial"/>
          <w:color w:val="000000"/>
          <w:sz w:val="18"/>
          <w:szCs w:val="18"/>
        </w:rPr>
        <w:t>§ 1º Se resulta:</w:t>
      </w:r>
    </w:p>
    <w:p w14:paraId="0DB9C524"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16" w:name="art129§1i"/>
      <w:bookmarkEnd w:id="16"/>
      <w:r w:rsidRPr="0075451A">
        <w:rPr>
          <w:rFonts w:asciiTheme="majorHAnsi" w:hAnsiTheme="majorHAnsi" w:cs="Arial"/>
          <w:color w:val="000000"/>
          <w:sz w:val="18"/>
          <w:szCs w:val="18"/>
        </w:rPr>
        <w:t>I - Incapacidade para as ocupações habituais, por mais de trinta dias;</w:t>
      </w:r>
    </w:p>
    <w:p w14:paraId="2ACCBBB0"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17" w:name="art129§1ii"/>
      <w:bookmarkEnd w:id="17"/>
      <w:r w:rsidRPr="0075451A">
        <w:rPr>
          <w:rFonts w:asciiTheme="majorHAnsi" w:hAnsiTheme="majorHAnsi" w:cs="Arial"/>
          <w:color w:val="000000"/>
          <w:sz w:val="18"/>
          <w:szCs w:val="18"/>
        </w:rPr>
        <w:t>II - perigo de vida;</w:t>
      </w:r>
    </w:p>
    <w:p w14:paraId="0B491EF7" w14:textId="77777777" w:rsidR="00297C31" w:rsidRPr="002F0018" w:rsidRDefault="00297C31" w:rsidP="0075451A">
      <w:pPr>
        <w:pStyle w:val="NormalWeb"/>
        <w:spacing w:after="120" w:line="240" w:lineRule="auto"/>
        <w:ind w:left="567" w:right="566" w:firstLine="567"/>
        <w:jc w:val="both"/>
        <w:rPr>
          <w:rFonts w:asciiTheme="majorHAnsi" w:hAnsiTheme="majorHAnsi" w:cs="Arial"/>
          <w:color w:val="000000"/>
          <w:sz w:val="22"/>
          <w:szCs w:val="22"/>
        </w:rPr>
      </w:pPr>
      <w:bookmarkStart w:id="18" w:name="art129§1iii"/>
      <w:bookmarkEnd w:id="18"/>
      <w:r w:rsidRPr="0075451A">
        <w:rPr>
          <w:rFonts w:asciiTheme="majorHAnsi" w:hAnsiTheme="majorHAnsi" w:cs="Arial"/>
          <w:color w:val="000000"/>
          <w:sz w:val="18"/>
          <w:szCs w:val="18"/>
        </w:rPr>
        <w:lastRenderedPageBreak/>
        <w:t>III - debilidade permanente de membro</w:t>
      </w:r>
      <w:r w:rsidRPr="002F0018">
        <w:rPr>
          <w:rFonts w:asciiTheme="majorHAnsi" w:hAnsiTheme="majorHAnsi" w:cs="Arial"/>
          <w:color w:val="000000"/>
          <w:sz w:val="22"/>
          <w:szCs w:val="22"/>
        </w:rPr>
        <w:t>, sentido ou função;</w:t>
      </w:r>
    </w:p>
    <w:p w14:paraId="0F359CE9"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19" w:name="art129§1iv"/>
      <w:bookmarkEnd w:id="19"/>
      <w:r w:rsidRPr="0075451A">
        <w:rPr>
          <w:rFonts w:asciiTheme="majorHAnsi" w:hAnsiTheme="majorHAnsi" w:cs="Arial"/>
          <w:color w:val="000000"/>
          <w:sz w:val="18"/>
          <w:szCs w:val="18"/>
        </w:rPr>
        <w:t>IV - aceleração de parto:</w:t>
      </w:r>
    </w:p>
    <w:p w14:paraId="16D14C72"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um a cinco anos.</w:t>
      </w:r>
    </w:p>
    <w:p w14:paraId="766E74EC"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0" w:name="art129§2"/>
      <w:bookmarkEnd w:id="20"/>
      <w:r w:rsidRPr="0075451A">
        <w:rPr>
          <w:rFonts w:asciiTheme="majorHAnsi" w:hAnsiTheme="majorHAnsi" w:cs="Arial"/>
          <w:color w:val="000000"/>
          <w:sz w:val="18"/>
          <w:szCs w:val="18"/>
        </w:rPr>
        <w:t>§ 2° Se resulta:</w:t>
      </w:r>
    </w:p>
    <w:p w14:paraId="068874D4"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1" w:name="art129§2i"/>
      <w:bookmarkEnd w:id="21"/>
      <w:r w:rsidRPr="0075451A">
        <w:rPr>
          <w:rFonts w:asciiTheme="majorHAnsi" w:hAnsiTheme="majorHAnsi" w:cs="Arial"/>
          <w:color w:val="000000"/>
          <w:sz w:val="18"/>
          <w:szCs w:val="18"/>
        </w:rPr>
        <w:t>I - Incapacidade permanente para o trabalho;</w:t>
      </w:r>
    </w:p>
    <w:p w14:paraId="3BF69C7E" w14:textId="3379A992"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2" w:name="art129§2ii"/>
      <w:bookmarkEnd w:id="22"/>
      <w:r w:rsidRPr="0075451A">
        <w:rPr>
          <w:rFonts w:asciiTheme="majorHAnsi" w:hAnsiTheme="majorHAnsi" w:cs="Arial"/>
          <w:color w:val="000000"/>
          <w:sz w:val="18"/>
          <w:szCs w:val="18"/>
        </w:rPr>
        <w:t xml:space="preserve">II - enfermidade </w:t>
      </w:r>
      <w:r w:rsidR="00F16E23" w:rsidRPr="0075451A">
        <w:rPr>
          <w:rFonts w:asciiTheme="majorHAnsi" w:hAnsiTheme="majorHAnsi" w:cs="Arial"/>
          <w:color w:val="000000"/>
          <w:sz w:val="18"/>
          <w:szCs w:val="18"/>
        </w:rPr>
        <w:t>incurável</w:t>
      </w:r>
      <w:r w:rsidRPr="0075451A">
        <w:rPr>
          <w:rFonts w:asciiTheme="majorHAnsi" w:hAnsiTheme="majorHAnsi" w:cs="Arial"/>
          <w:color w:val="000000"/>
          <w:sz w:val="18"/>
          <w:szCs w:val="18"/>
        </w:rPr>
        <w:t>;</w:t>
      </w:r>
    </w:p>
    <w:p w14:paraId="7EDE5F71"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3" w:name="art129§2iii"/>
      <w:bookmarkEnd w:id="23"/>
      <w:r w:rsidRPr="0075451A">
        <w:rPr>
          <w:rFonts w:asciiTheme="majorHAnsi" w:hAnsiTheme="majorHAnsi" w:cs="Arial"/>
          <w:color w:val="000000"/>
          <w:sz w:val="18"/>
          <w:szCs w:val="18"/>
        </w:rPr>
        <w:t>III - perda ou inutilização do membro, sentido ou função;</w:t>
      </w:r>
    </w:p>
    <w:p w14:paraId="340071CE"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4" w:name="art129§2iv"/>
      <w:bookmarkEnd w:id="24"/>
      <w:r w:rsidRPr="0075451A">
        <w:rPr>
          <w:rFonts w:asciiTheme="majorHAnsi" w:hAnsiTheme="majorHAnsi" w:cs="Arial"/>
          <w:color w:val="000000"/>
          <w:sz w:val="18"/>
          <w:szCs w:val="18"/>
        </w:rPr>
        <w:t>IV - deformidade permanente;</w:t>
      </w:r>
    </w:p>
    <w:p w14:paraId="101ABA24"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5" w:name="art129§2v"/>
      <w:bookmarkEnd w:id="25"/>
      <w:r w:rsidRPr="0075451A">
        <w:rPr>
          <w:rFonts w:asciiTheme="majorHAnsi" w:hAnsiTheme="majorHAnsi" w:cs="Arial"/>
          <w:color w:val="000000"/>
          <w:sz w:val="18"/>
          <w:szCs w:val="18"/>
        </w:rPr>
        <w:t>V - aborto:</w:t>
      </w:r>
    </w:p>
    <w:p w14:paraId="6C63A36F"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dois a oito anos.</w:t>
      </w:r>
    </w:p>
    <w:p w14:paraId="4581C78B"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Lesão corporal seguida de morte</w:t>
      </w:r>
    </w:p>
    <w:p w14:paraId="1ED100D5"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6" w:name="art129§3"/>
      <w:bookmarkEnd w:id="26"/>
      <w:r w:rsidRPr="0075451A">
        <w:rPr>
          <w:rFonts w:asciiTheme="majorHAnsi" w:hAnsiTheme="majorHAnsi" w:cs="Arial"/>
          <w:color w:val="000000"/>
          <w:sz w:val="18"/>
          <w:szCs w:val="18"/>
        </w:rPr>
        <w:t xml:space="preserve">§ 3° Se resulta morte e as circunstâncias evidenciam que o agente não </w:t>
      </w:r>
      <w:proofErr w:type="spellStart"/>
      <w:r w:rsidRPr="0075451A">
        <w:rPr>
          <w:rFonts w:asciiTheme="majorHAnsi" w:hAnsiTheme="majorHAnsi" w:cs="Arial"/>
          <w:color w:val="000000"/>
          <w:sz w:val="18"/>
          <w:szCs w:val="18"/>
        </w:rPr>
        <w:t>quís</w:t>
      </w:r>
      <w:proofErr w:type="spellEnd"/>
      <w:r w:rsidRPr="0075451A">
        <w:rPr>
          <w:rFonts w:asciiTheme="majorHAnsi" w:hAnsiTheme="majorHAnsi" w:cs="Arial"/>
          <w:color w:val="000000"/>
          <w:sz w:val="18"/>
          <w:szCs w:val="18"/>
        </w:rPr>
        <w:t xml:space="preserve"> o resultado, nem assumiu o risco de produzí-lo:</w:t>
      </w:r>
    </w:p>
    <w:p w14:paraId="53199CFB"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quatro a doze anos.</w:t>
      </w:r>
    </w:p>
    <w:p w14:paraId="18A82C77" w14:textId="77777777" w:rsidR="009170C2"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06BE9E8F" w14:textId="77777777" w:rsidR="00297C31"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Lesão corporal culposa</w:t>
      </w:r>
    </w:p>
    <w:p w14:paraId="59D598CF" w14:textId="77777777" w:rsidR="004C7170" w:rsidRPr="0075451A" w:rsidRDefault="00297C31" w:rsidP="0075451A">
      <w:pPr>
        <w:pStyle w:val="NormalWeb"/>
        <w:spacing w:after="120" w:line="240" w:lineRule="auto"/>
        <w:ind w:left="567" w:right="566" w:firstLine="567"/>
        <w:jc w:val="both"/>
        <w:rPr>
          <w:rFonts w:asciiTheme="majorHAnsi" w:hAnsiTheme="majorHAnsi" w:cs="Arial"/>
          <w:color w:val="000000"/>
          <w:sz w:val="18"/>
          <w:szCs w:val="18"/>
        </w:rPr>
      </w:pPr>
      <w:bookmarkStart w:id="27" w:name="art129§6"/>
      <w:bookmarkEnd w:id="27"/>
      <w:r w:rsidRPr="0075451A">
        <w:rPr>
          <w:rFonts w:asciiTheme="majorHAnsi" w:hAnsiTheme="majorHAnsi" w:cs="Arial"/>
          <w:color w:val="000000"/>
          <w:sz w:val="18"/>
          <w:szCs w:val="18"/>
        </w:rPr>
        <w:t>§ 6° Se a lesão é culposa:</w:t>
      </w:r>
    </w:p>
    <w:p w14:paraId="72541443" w14:textId="77777777" w:rsidR="00297C31" w:rsidRDefault="00297C31"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detenção, de dois meses a um ano.”</w:t>
      </w:r>
    </w:p>
    <w:p w14:paraId="31772539" w14:textId="77777777" w:rsidR="00685CBD" w:rsidRPr="0075451A" w:rsidRDefault="00685CBD" w:rsidP="0075451A">
      <w:pPr>
        <w:pStyle w:val="NormalWeb"/>
        <w:spacing w:after="120" w:line="240" w:lineRule="auto"/>
        <w:ind w:left="567" w:right="566" w:firstLine="567"/>
        <w:jc w:val="both"/>
        <w:rPr>
          <w:rFonts w:asciiTheme="majorHAnsi" w:hAnsiTheme="majorHAnsi" w:cs="Arial"/>
          <w:color w:val="000000"/>
          <w:sz w:val="18"/>
          <w:szCs w:val="18"/>
        </w:rPr>
      </w:pPr>
    </w:p>
    <w:p w14:paraId="2125B7D9" w14:textId="77777777" w:rsidR="009170C2" w:rsidRPr="002F0018" w:rsidRDefault="004C7170" w:rsidP="004C7170">
      <w:pPr>
        <w:pStyle w:val="ListParagraph"/>
        <w:numPr>
          <w:ilvl w:val="0"/>
          <w:numId w:val="6"/>
        </w:numPr>
        <w:spacing w:after="240" w:line="360" w:lineRule="auto"/>
        <w:ind w:left="357" w:hanging="357"/>
        <w:jc w:val="both"/>
        <w:rPr>
          <w:rFonts w:asciiTheme="majorHAnsi" w:hAnsiTheme="majorHAnsi"/>
          <w:sz w:val="22"/>
          <w:szCs w:val="22"/>
        </w:rPr>
      </w:pPr>
      <w:r w:rsidRPr="002F0018">
        <w:rPr>
          <w:rFonts w:asciiTheme="majorHAnsi" w:hAnsiTheme="majorHAnsi"/>
          <w:sz w:val="22"/>
          <w:szCs w:val="22"/>
        </w:rPr>
        <w:t>Homicídio, tipificado no art. 121, do Código Penal:</w:t>
      </w:r>
    </w:p>
    <w:p w14:paraId="3F0AC72A"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Homicídio simples</w:t>
      </w:r>
    </w:p>
    <w:p w14:paraId="1B876D1A" w14:textId="02F8D770"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bookmarkStart w:id="28" w:name="art121"/>
      <w:bookmarkEnd w:id="28"/>
      <w:r w:rsidRPr="0075451A">
        <w:rPr>
          <w:rFonts w:asciiTheme="majorHAnsi" w:hAnsiTheme="majorHAnsi" w:cs="Arial"/>
          <w:color w:val="000000"/>
          <w:sz w:val="18"/>
          <w:szCs w:val="18"/>
        </w:rPr>
        <w:t xml:space="preserve">Art. 121. Matar </w:t>
      </w:r>
      <w:r w:rsidR="00685CBD" w:rsidRPr="0075451A">
        <w:rPr>
          <w:rFonts w:asciiTheme="majorHAnsi" w:hAnsiTheme="majorHAnsi" w:cs="Arial"/>
          <w:color w:val="000000"/>
          <w:sz w:val="18"/>
          <w:szCs w:val="18"/>
        </w:rPr>
        <w:t>alguém</w:t>
      </w:r>
      <w:r w:rsidRPr="0075451A">
        <w:rPr>
          <w:rFonts w:asciiTheme="majorHAnsi" w:hAnsiTheme="majorHAnsi" w:cs="Arial"/>
          <w:color w:val="000000"/>
          <w:sz w:val="18"/>
          <w:szCs w:val="18"/>
        </w:rPr>
        <w:t>:</w:t>
      </w:r>
    </w:p>
    <w:p w14:paraId="357145EE"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seis a vinte anos.</w:t>
      </w:r>
    </w:p>
    <w:p w14:paraId="559479E0"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3C146BFA"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Homicídio qualificado</w:t>
      </w:r>
    </w:p>
    <w:p w14:paraId="767F3B58"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bookmarkStart w:id="29" w:name="art121§2"/>
      <w:bookmarkEnd w:id="29"/>
      <w:r w:rsidRPr="0075451A">
        <w:rPr>
          <w:rFonts w:asciiTheme="majorHAnsi" w:hAnsiTheme="majorHAnsi" w:cs="Arial"/>
          <w:color w:val="000000"/>
          <w:sz w:val="18"/>
          <w:szCs w:val="18"/>
        </w:rPr>
        <w:t>§ 2° Se o homicídio é cometido:</w:t>
      </w:r>
    </w:p>
    <w:p w14:paraId="0A14A3E5"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54E044A8"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III - com emprego de veneno, fogo, explosivo, asfixia, tortura ou outro meio insidioso ou cruel, ou de que possa resultar perigo comum;</w:t>
      </w:r>
    </w:p>
    <w:p w14:paraId="3AB6D146"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12874805"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reclusão, de doze a trinta anos.</w:t>
      </w:r>
    </w:p>
    <w:p w14:paraId="6AE29645"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w:t>
      </w:r>
    </w:p>
    <w:p w14:paraId="11ABC696"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Homicídio culposo</w:t>
      </w:r>
    </w:p>
    <w:p w14:paraId="05EE232A"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bookmarkStart w:id="30" w:name="art121§3"/>
      <w:bookmarkEnd w:id="30"/>
      <w:r w:rsidRPr="0075451A">
        <w:rPr>
          <w:rFonts w:asciiTheme="majorHAnsi" w:hAnsiTheme="majorHAnsi" w:cs="Arial"/>
          <w:color w:val="000000"/>
          <w:sz w:val="18"/>
          <w:szCs w:val="18"/>
        </w:rPr>
        <w:t>§ 3º Se o homicídio é culposo:</w:t>
      </w:r>
    </w:p>
    <w:p w14:paraId="1BC7BE5A" w14:textId="77777777" w:rsidR="004C7170" w:rsidRPr="0075451A" w:rsidRDefault="004C7170" w:rsidP="0075451A">
      <w:pPr>
        <w:pStyle w:val="NormalWeb"/>
        <w:spacing w:after="120" w:line="240" w:lineRule="auto"/>
        <w:ind w:left="567" w:right="566" w:firstLine="567"/>
        <w:jc w:val="both"/>
        <w:rPr>
          <w:rFonts w:asciiTheme="majorHAnsi" w:hAnsiTheme="majorHAnsi" w:cs="Arial"/>
          <w:color w:val="000000"/>
          <w:sz w:val="18"/>
          <w:szCs w:val="18"/>
        </w:rPr>
      </w:pPr>
      <w:r w:rsidRPr="0075451A">
        <w:rPr>
          <w:rFonts w:asciiTheme="majorHAnsi" w:hAnsiTheme="majorHAnsi" w:cs="Arial"/>
          <w:color w:val="000000"/>
          <w:sz w:val="18"/>
          <w:szCs w:val="18"/>
        </w:rPr>
        <w:t>Pena - detenção, de um a três anos.</w:t>
      </w:r>
    </w:p>
    <w:p w14:paraId="58DE5018" w14:textId="77777777" w:rsidR="004C7170" w:rsidRDefault="004C7170" w:rsidP="004C7170">
      <w:pPr>
        <w:spacing w:after="240" w:line="360" w:lineRule="auto"/>
        <w:jc w:val="both"/>
        <w:rPr>
          <w:rFonts w:asciiTheme="majorHAnsi" w:hAnsiTheme="majorHAnsi"/>
          <w:sz w:val="22"/>
          <w:szCs w:val="22"/>
        </w:rPr>
      </w:pPr>
    </w:p>
    <w:p w14:paraId="1F6D8F39" w14:textId="4575A142" w:rsidR="00685CBD" w:rsidRPr="00DE1B27" w:rsidRDefault="00685CBD" w:rsidP="00685CBD">
      <w:pPr>
        <w:spacing w:after="240" w:line="360" w:lineRule="auto"/>
        <w:jc w:val="center"/>
        <w:rPr>
          <w:rFonts w:asciiTheme="majorHAnsi" w:hAnsiTheme="majorHAnsi"/>
          <w:b/>
          <w:sz w:val="22"/>
          <w:szCs w:val="22"/>
        </w:rPr>
      </w:pPr>
      <w:r w:rsidRPr="00DE1B27">
        <w:rPr>
          <w:rFonts w:asciiTheme="majorHAnsi" w:hAnsiTheme="majorHAnsi"/>
          <w:b/>
          <w:sz w:val="22"/>
          <w:szCs w:val="22"/>
        </w:rPr>
        <w:t>III – CONCLUSÃO</w:t>
      </w:r>
    </w:p>
    <w:p w14:paraId="4CB82C47" w14:textId="5457CAA7" w:rsidR="00685CBD" w:rsidRDefault="00685CBD" w:rsidP="00685CBD">
      <w:pPr>
        <w:spacing w:after="240" w:line="360" w:lineRule="auto"/>
        <w:jc w:val="both"/>
        <w:rPr>
          <w:rFonts w:asciiTheme="majorHAnsi" w:hAnsiTheme="majorHAnsi"/>
          <w:sz w:val="22"/>
          <w:szCs w:val="22"/>
        </w:rPr>
      </w:pPr>
      <w:r>
        <w:rPr>
          <w:rFonts w:asciiTheme="majorHAnsi" w:hAnsiTheme="majorHAnsi"/>
          <w:sz w:val="22"/>
          <w:szCs w:val="22"/>
        </w:rPr>
        <w:t xml:space="preserve">Ante os casos </w:t>
      </w:r>
      <w:r w:rsidR="00DE1B27">
        <w:rPr>
          <w:rFonts w:asciiTheme="majorHAnsi" w:hAnsiTheme="majorHAnsi"/>
          <w:sz w:val="22"/>
          <w:szCs w:val="22"/>
        </w:rPr>
        <w:t xml:space="preserve">aqui </w:t>
      </w:r>
      <w:r>
        <w:rPr>
          <w:rFonts w:asciiTheme="majorHAnsi" w:hAnsiTheme="majorHAnsi"/>
          <w:sz w:val="22"/>
          <w:szCs w:val="22"/>
        </w:rPr>
        <w:t xml:space="preserve">exemplificados </w:t>
      </w:r>
      <w:r w:rsidR="00DE1B27">
        <w:rPr>
          <w:rFonts w:asciiTheme="majorHAnsi" w:hAnsiTheme="majorHAnsi"/>
          <w:sz w:val="22"/>
          <w:szCs w:val="22"/>
        </w:rPr>
        <w:t>com o único propósito de alargar o</w:t>
      </w:r>
      <w:r>
        <w:rPr>
          <w:rFonts w:asciiTheme="majorHAnsi" w:hAnsiTheme="majorHAnsi"/>
          <w:sz w:val="22"/>
          <w:szCs w:val="22"/>
        </w:rPr>
        <w:t xml:space="preserve"> entendimento </w:t>
      </w:r>
      <w:r w:rsidR="00DE1B27">
        <w:rPr>
          <w:rFonts w:asciiTheme="majorHAnsi" w:hAnsiTheme="majorHAnsi"/>
          <w:sz w:val="22"/>
          <w:szCs w:val="22"/>
        </w:rPr>
        <w:t xml:space="preserve">sobre </w:t>
      </w:r>
      <w:r>
        <w:rPr>
          <w:rFonts w:asciiTheme="majorHAnsi" w:hAnsiTheme="majorHAnsi"/>
          <w:sz w:val="22"/>
          <w:szCs w:val="22"/>
        </w:rPr>
        <w:t xml:space="preserve">a regra geral aplicável, </w:t>
      </w:r>
      <w:r w:rsidR="00DE1B27">
        <w:rPr>
          <w:rFonts w:asciiTheme="majorHAnsi" w:hAnsiTheme="majorHAnsi"/>
          <w:sz w:val="22"/>
          <w:szCs w:val="22"/>
        </w:rPr>
        <w:t xml:space="preserve">e, por conseguinte, </w:t>
      </w:r>
      <w:r>
        <w:rPr>
          <w:rFonts w:asciiTheme="majorHAnsi" w:hAnsiTheme="majorHAnsi"/>
          <w:sz w:val="22"/>
          <w:szCs w:val="22"/>
        </w:rPr>
        <w:t xml:space="preserve">os seus efeitos jurídicos no campo civil e penal, </w:t>
      </w:r>
      <w:r>
        <w:rPr>
          <w:rFonts w:asciiTheme="majorHAnsi" w:hAnsiTheme="majorHAnsi"/>
          <w:sz w:val="22"/>
          <w:szCs w:val="22"/>
        </w:rPr>
        <w:lastRenderedPageBreak/>
        <w:t>possível concluir que a omissão no decidir entre as escolhas apresentadas, a pior possível é aquela que trilhe pelo caminho da omissão. Omissão de quem detém o poder imediato de agir</w:t>
      </w:r>
      <w:r w:rsidR="00DE1B27">
        <w:rPr>
          <w:rFonts w:asciiTheme="majorHAnsi" w:hAnsiTheme="majorHAnsi"/>
          <w:sz w:val="22"/>
          <w:szCs w:val="22"/>
        </w:rPr>
        <w:t>,</w:t>
      </w:r>
      <w:r>
        <w:rPr>
          <w:rFonts w:asciiTheme="majorHAnsi" w:hAnsiTheme="majorHAnsi"/>
          <w:sz w:val="22"/>
          <w:szCs w:val="22"/>
        </w:rPr>
        <w:t xml:space="preserve"> lojistas, por exemplo, </w:t>
      </w:r>
      <w:r w:rsidR="00DE1B27">
        <w:rPr>
          <w:rFonts w:asciiTheme="majorHAnsi" w:hAnsiTheme="majorHAnsi"/>
          <w:sz w:val="22"/>
          <w:szCs w:val="22"/>
        </w:rPr>
        <w:t>e</w:t>
      </w:r>
      <w:r>
        <w:rPr>
          <w:rFonts w:asciiTheme="majorHAnsi" w:hAnsiTheme="majorHAnsi"/>
          <w:sz w:val="22"/>
          <w:szCs w:val="22"/>
        </w:rPr>
        <w:t xml:space="preserve"> poder mediato, também de agir</w:t>
      </w:r>
      <w:r w:rsidR="00DE1B27">
        <w:rPr>
          <w:rFonts w:asciiTheme="majorHAnsi" w:hAnsiTheme="majorHAnsi"/>
          <w:sz w:val="22"/>
          <w:szCs w:val="22"/>
        </w:rPr>
        <w:t>, da</w:t>
      </w:r>
      <w:r>
        <w:rPr>
          <w:rFonts w:asciiTheme="majorHAnsi" w:hAnsiTheme="majorHAnsi"/>
          <w:sz w:val="22"/>
          <w:szCs w:val="22"/>
        </w:rPr>
        <w:t xml:space="preserve"> administração dos shoppings, por exemplo, porque no caso de prejuízo de qualquer natureza </w:t>
      </w:r>
      <w:r w:rsidR="00DE1B27">
        <w:rPr>
          <w:rFonts w:asciiTheme="majorHAnsi" w:hAnsiTheme="majorHAnsi"/>
          <w:sz w:val="22"/>
          <w:szCs w:val="22"/>
        </w:rPr>
        <w:t>imposto</w:t>
      </w:r>
      <w:r>
        <w:rPr>
          <w:rFonts w:asciiTheme="majorHAnsi" w:hAnsiTheme="majorHAnsi"/>
          <w:sz w:val="22"/>
          <w:szCs w:val="22"/>
        </w:rPr>
        <w:t xml:space="preserve"> contra o consumidor final, inclusive lesões corporais ou mesmo morte, serão responsabilizados a administração e também os lojistas.</w:t>
      </w:r>
    </w:p>
    <w:p w14:paraId="65A861DF" w14:textId="5FA16409" w:rsidR="00685CBD" w:rsidRDefault="00DE1B27" w:rsidP="00685CBD">
      <w:pPr>
        <w:spacing w:after="240" w:line="360" w:lineRule="auto"/>
        <w:jc w:val="both"/>
        <w:rPr>
          <w:rFonts w:asciiTheme="majorHAnsi" w:hAnsiTheme="majorHAnsi"/>
          <w:sz w:val="22"/>
          <w:szCs w:val="22"/>
        </w:rPr>
      </w:pPr>
      <w:r>
        <w:rPr>
          <w:rFonts w:asciiTheme="majorHAnsi" w:hAnsiTheme="majorHAnsi"/>
          <w:sz w:val="22"/>
          <w:szCs w:val="22"/>
        </w:rPr>
        <w:t xml:space="preserve">Considerando, por fim, </w:t>
      </w:r>
      <w:r w:rsidR="00685CBD">
        <w:rPr>
          <w:rFonts w:asciiTheme="majorHAnsi" w:hAnsiTheme="majorHAnsi"/>
          <w:sz w:val="22"/>
          <w:szCs w:val="22"/>
        </w:rPr>
        <w:t xml:space="preserve">que no campo penal a pessoa jurídica não </w:t>
      </w:r>
      <w:r>
        <w:rPr>
          <w:rFonts w:asciiTheme="majorHAnsi" w:hAnsiTheme="majorHAnsi"/>
          <w:sz w:val="22"/>
          <w:szCs w:val="22"/>
        </w:rPr>
        <w:t xml:space="preserve">é </w:t>
      </w:r>
      <w:r w:rsidR="00685CBD">
        <w:rPr>
          <w:rFonts w:asciiTheme="majorHAnsi" w:hAnsiTheme="majorHAnsi"/>
          <w:sz w:val="22"/>
          <w:szCs w:val="22"/>
        </w:rPr>
        <w:t xml:space="preserve">sujeito passivo da pena de reclusão ou detenção, </w:t>
      </w:r>
      <w:r>
        <w:rPr>
          <w:rFonts w:asciiTheme="majorHAnsi" w:hAnsiTheme="majorHAnsi"/>
          <w:sz w:val="22"/>
          <w:szCs w:val="22"/>
        </w:rPr>
        <w:t>mas sim,</w:t>
      </w:r>
      <w:r w:rsidR="00685CBD">
        <w:rPr>
          <w:rFonts w:asciiTheme="majorHAnsi" w:hAnsiTheme="majorHAnsi"/>
          <w:sz w:val="22"/>
          <w:szCs w:val="22"/>
        </w:rPr>
        <w:t xml:space="preserve"> sempre</w:t>
      </w:r>
      <w:r>
        <w:rPr>
          <w:rFonts w:asciiTheme="majorHAnsi" w:hAnsiTheme="majorHAnsi"/>
          <w:sz w:val="22"/>
          <w:szCs w:val="22"/>
        </w:rPr>
        <w:t>,</w:t>
      </w:r>
      <w:r w:rsidR="00685CBD">
        <w:rPr>
          <w:rFonts w:asciiTheme="majorHAnsi" w:hAnsiTheme="majorHAnsi"/>
          <w:sz w:val="22"/>
          <w:szCs w:val="22"/>
        </w:rPr>
        <w:t xml:space="preserve"> as pessoas naturais (físicas) dos seus dirigentes</w:t>
      </w:r>
      <w:r>
        <w:rPr>
          <w:rFonts w:asciiTheme="majorHAnsi" w:hAnsiTheme="majorHAnsi"/>
          <w:sz w:val="22"/>
          <w:szCs w:val="22"/>
        </w:rPr>
        <w:t>, por isso o risco decorrente da omissão aqui citad</w:t>
      </w:r>
      <w:bookmarkStart w:id="31" w:name="_GoBack"/>
      <w:bookmarkEnd w:id="31"/>
      <w:r>
        <w:rPr>
          <w:rFonts w:asciiTheme="majorHAnsi" w:hAnsiTheme="majorHAnsi"/>
          <w:sz w:val="22"/>
          <w:szCs w:val="22"/>
        </w:rPr>
        <w:t>a é agravado por seus efeitos penais nas pessoas dos dirigentes</w:t>
      </w:r>
      <w:r w:rsidR="00685CBD">
        <w:rPr>
          <w:rFonts w:asciiTheme="majorHAnsi" w:hAnsiTheme="majorHAnsi"/>
          <w:sz w:val="22"/>
          <w:szCs w:val="22"/>
        </w:rPr>
        <w:t>.</w:t>
      </w:r>
    </w:p>
    <w:p w14:paraId="6404D9F7" w14:textId="77576805" w:rsidR="00DE1B27" w:rsidRDefault="00DE1B27" w:rsidP="00685CBD">
      <w:pPr>
        <w:spacing w:after="240" w:line="360" w:lineRule="auto"/>
        <w:jc w:val="both"/>
        <w:rPr>
          <w:rFonts w:asciiTheme="majorHAnsi" w:hAnsiTheme="majorHAnsi"/>
          <w:sz w:val="22"/>
          <w:szCs w:val="22"/>
        </w:rPr>
      </w:pPr>
      <w:r>
        <w:rPr>
          <w:rFonts w:asciiTheme="majorHAnsi" w:hAnsiTheme="majorHAnsi"/>
          <w:sz w:val="22"/>
          <w:szCs w:val="22"/>
        </w:rPr>
        <w:t xml:space="preserve">Pode-se alegar que penas de detenção tão reduzidas e que podem, ademais, ser transacionadas com o Poder Público </w:t>
      </w:r>
      <w:r w:rsidR="00F16E23">
        <w:rPr>
          <w:rFonts w:asciiTheme="majorHAnsi" w:hAnsiTheme="majorHAnsi"/>
          <w:sz w:val="22"/>
          <w:szCs w:val="22"/>
        </w:rPr>
        <w:t>convertidas</w:t>
      </w:r>
      <w:r>
        <w:rPr>
          <w:rFonts w:asciiTheme="majorHAnsi" w:hAnsiTheme="majorHAnsi"/>
          <w:sz w:val="22"/>
          <w:szCs w:val="22"/>
        </w:rPr>
        <w:t xml:space="preserve"> em obrigação de fornecimento de cestas básicas à população carente não chega</w:t>
      </w:r>
      <w:r w:rsidR="008015B9">
        <w:rPr>
          <w:rFonts w:asciiTheme="majorHAnsi" w:hAnsiTheme="majorHAnsi"/>
          <w:sz w:val="22"/>
          <w:szCs w:val="22"/>
        </w:rPr>
        <w:t>m</w:t>
      </w:r>
      <w:r>
        <w:rPr>
          <w:rFonts w:asciiTheme="majorHAnsi" w:hAnsiTheme="majorHAnsi"/>
          <w:sz w:val="22"/>
          <w:szCs w:val="22"/>
        </w:rPr>
        <w:t xml:space="preserve"> a assustar </w:t>
      </w:r>
      <w:r>
        <w:rPr>
          <w:rFonts w:asciiTheme="majorHAnsi" w:hAnsiTheme="majorHAnsi"/>
          <w:sz w:val="22"/>
          <w:szCs w:val="22"/>
        </w:rPr>
        <w:t>–</w:t>
      </w:r>
      <w:r>
        <w:rPr>
          <w:rFonts w:asciiTheme="majorHAnsi" w:hAnsiTheme="majorHAnsi"/>
          <w:sz w:val="22"/>
          <w:szCs w:val="22"/>
        </w:rPr>
        <w:t xml:space="preserve"> é bem verdade! Entretanto, quem em sã consciência, mesmo diante de pena branda, aceita natural responder passivamente a processo penal por erro cometido pela administração de shopping – isto é, por erro da pessoa jurídica administradora? </w:t>
      </w:r>
    </w:p>
    <w:p w14:paraId="47065C35" w14:textId="1CAE1CFE" w:rsidR="00DE1B27" w:rsidRDefault="00DE1B27" w:rsidP="00685CBD">
      <w:pPr>
        <w:spacing w:after="240" w:line="360" w:lineRule="auto"/>
        <w:jc w:val="both"/>
        <w:rPr>
          <w:rFonts w:asciiTheme="majorHAnsi" w:hAnsiTheme="majorHAnsi"/>
          <w:sz w:val="22"/>
          <w:szCs w:val="22"/>
        </w:rPr>
      </w:pPr>
      <w:r>
        <w:rPr>
          <w:rFonts w:asciiTheme="majorHAnsi" w:hAnsiTheme="majorHAnsi"/>
          <w:sz w:val="22"/>
          <w:szCs w:val="22"/>
        </w:rPr>
        <w:t xml:space="preserve">Extrapole-se esta indagação para qualquer outra hipótese em que a omissão enseje a atuação do direito de reparação, civil </w:t>
      </w:r>
      <w:r w:rsidR="008015B9">
        <w:rPr>
          <w:rFonts w:asciiTheme="majorHAnsi" w:hAnsiTheme="majorHAnsi"/>
          <w:sz w:val="22"/>
          <w:szCs w:val="22"/>
        </w:rPr>
        <w:t>e</w:t>
      </w:r>
      <w:r>
        <w:rPr>
          <w:rFonts w:asciiTheme="majorHAnsi" w:hAnsiTheme="majorHAnsi"/>
          <w:sz w:val="22"/>
          <w:szCs w:val="22"/>
        </w:rPr>
        <w:t xml:space="preserve"> criminal, como é o caso de nutricionistas responsáveis por cozinhas terceirizadas </w:t>
      </w:r>
      <w:r w:rsidR="00F16E23">
        <w:rPr>
          <w:rFonts w:asciiTheme="majorHAnsi" w:hAnsiTheme="majorHAnsi"/>
          <w:sz w:val="22"/>
          <w:szCs w:val="22"/>
        </w:rPr>
        <w:t>(Resolução CFN 218/99)</w:t>
      </w:r>
      <w:r w:rsidR="008015B9">
        <w:rPr>
          <w:rFonts w:asciiTheme="majorHAnsi" w:hAnsiTheme="majorHAnsi"/>
          <w:sz w:val="22"/>
          <w:szCs w:val="22"/>
        </w:rPr>
        <w:t>,</w:t>
      </w:r>
      <w:r w:rsidR="00F16E23">
        <w:rPr>
          <w:rFonts w:asciiTheme="majorHAnsi" w:hAnsiTheme="majorHAnsi"/>
          <w:sz w:val="22"/>
          <w:szCs w:val="22"/>
        </w:rPr>
        <w:t xml:space="preserve"> </w:t>
      </w:r>
      <w:r>
        <w:rPr>
          <w:rFonts w:asciiTheme="majorHAnsi" w:hAnsiTheme="majorHAnsi"/>
          <w:sz w:val="22"/>
          <w:szCs w:val="22"/>
        </w:rPr>
        <w:t xml:space="preserve">ou mesmo situações em que há fornecimento de alimentos contaminados por agentes bacteriológicos </w:t>
      </w:r>
      <w:r w:rsidR="00F16E23">
        <w:rPr>
          <w:rFonts w:asciiTheme="majorHAnsi" w:hAnsiTheme="majorHAnsi"/>
          <w:sz w:val="22"/>
          <w:szCs w:val="22"/>
        </w:rPr>
        <w:t xml:space="preserve">ou </w:t>
      </w:r>
      <w:proofErr w:type="spellStart"/>
      <w:r w:rsidR="00F16E23">
        <w:rPr>
          <w:rFonts w:asciiTheme="majorHAnsi" w:hAnsiTheme="majorHAnsi"/>
          <w:sz w:val="22"/>
          <w:szCs w:val="22"/>
        </w:rPr>
        <w:t>fúngicos</w:t>
      </w:r>
      <w:proofErr w:type="spellEnd"/>
      <w:r w:rsidR="00F16E23">
        <w:rPr>
          <w:rFonts w:asciiTheme="majorHAnsi" w:hAnsiTheme="majorHAnsi"/>
          <w:sz w:val="22"/>
          <w:szCs w:val="22"/>
        </w:rPr>
        <w:t xml:space="preserve"> </w:t>
      </w:r>
      <w:r>
        <w:rPr>
          <w:rFonts w:asciiTheme="majorHAnsi" w:hAnsiTheme="majorHAnsi"/>
          <w:sz w:val="22"/>
          <w:szCs w:val="22"/>
        </w:rPr>
        <w:t>presentes em sistemas de exaustão prejudicados por falt</w:t>
      </w:r>
      <w:r w:rsidR="00F16E23">
        <w:rPr>
          <w:rFonts w:asciiTheme="majorHAnsi" w:hAnsiTheme="majorHAnsi"/>
          <w:sz w:val="22"/>
          <w:szCs w:val="22"/>
        </w:rPr>
        <w:t xml:space="preserve">a de limpeza regular. </w:t>
      </w:r>
    </w:p>
    <w:p w14:paraId="167BBE74" w14:textId="32538117" w:rsidR="00F16E23" w:rsidRDefault="00F16E23" w:rsidP="00685CBD">
      <w:pPr>
        <w:spacing w:after="240" w:line="360" w:lineRule="auto"/>
        <w:jc w:val="both"/>
        <w:rPr>
          <w:rFonts w:asciiTheme="majorHAnsi" w:hAnsiTheme="majorHAnsi"/>
          <w:sz w:val="22"/>
          <w:szCs w:val="22"/>
        </w:rPr>
      </w:pPr>
      <w:r>
        <w:rPr>
          <w:rFonts w:asciiTheme="majorHAnsi" w:hAnsiTheme="majorHAnsi"/>
          <w:sz w:val="22"/>
          <w:szCs w:val="22"/>
        </w:rPr>
        <w:t xml:space="preserve">Por derradeiro, extrapole-se, ainda, para as situações </w:t>
      </w:r>
      <w:r>
        <w:rPr>
          <w:rFonts w:asciiTheme="majorHAnsi" w:hAnsiTheme="majorHAnsi"/>
          <w:sz w:val="22"/>
          <w:szCs w:val="22"/>
        </w:rPr>
        <w:t>–</w:t>
      </w:r>
      <w:r>
        <w:rPr>
          <w:rFonts w:asciiTheme="majorHAnsi" w:hAnsiTheme="majorHAnsi"/>
          <w:sz w:val="22"/>
          <w:szCs w:val="22"/>
        </w:rPr>
        <w:t xml:space="preserve"> caso concreto e presente conforme temos observado </w:t>
      </w:r>
      <w:r>
        <w:rPr>
          <w:rFonts w:asciiTheme="majorHAnsi" w:hAnsiTheme="majorHAnsi"/>
          <w:sz w:val="22"/>
          <w:szCs w:val="22"/>
        </w:rPr>
        <w:t>–</w:t>
      </w:r>
      <w:r>
        <w:rPr>
          <w:rFonts w:asciiTheme="majorHAnsi" w:hAnsiTheme="majorHAnsi"/>
          <w:sz w:val="22"/>
          <w:szCs w:val="22"/>
        </w:rPr>
        <w:t xml:space="preserve"> em que dutos dos sistemas de exaustão sem manutenção provocam prejuízos para outros lojistas, obrigando estes a paralisar seus negócios para reparos, por dias a fio! Prejuízo irreparável cuja conta é cobrada do lojista causador e também da omissa administração do shopping.</w:t>
      </w:r>
    </w:p>
    <w:p w14:paraId="5E9AF1C5" w14:textId="72F761A0" w:rsidR="008015B9" w:rsidRDefault="008015B9" w:rsidP="00685CBD">
      <w:pPr>
        <w:spacing w:after="240" w:line="360" w:lineRule="auto"/>
        <w:jc w:val="both"/>
        <w:rPr>
          <w:rFonts w:asciiTheme="majorHAnsi" w:hAnsiTheme="majorHAnsi"/>
          <w:sz w:val="22"/>
          <w:szCs w:val="22"/>
        </w:rPr>
      </w:pPr>
      <w:r>
        <w:rPr>
          <w:rFonts w:asciiTheme="majorHAnsi" w:hAnsiTheme="majorHAnsi"/>
          <w:sz w:val="22"/>
          <w:szCs w:val="22"/>
        </w:rPr>
        <w:t>Remarque-se outro efeito relevante: as companhias seguradoras começam a exigir a prova da adequada manutenção desses sistemas de exaustão para pagar a indenização devida.</w:t>
      </w:r>
    </w:p>
    <w:p w14:paraId="430CC0BC" w14:textId="2F83D795" w:rsidR="00F16E23" w:rsidRDefault="00F16E23" w:rsidP="00685CBD">
      <w:pPr>
        <w:spacing w:after="240" w:line="360" w:lineRule="auto"/>
        <w:jc w:val="both"/>
        <w:rPr>
          <w:rFonts w:asciiTheme="majorHAnsi" w:hAnsiTheme="majorHAnsi"/>
          <w:sz w:val="22"/>
          <w:szCs w:val="22"/>
        </w:rPr>
      </w:pPr>
      <w:r>
        <w:rPr>
          <w:rFonts w:asciiTheme="majorHAnsi" w:hAnsiTheme="majorHAnsi"/>
          <w:sz w:val="22"/>
          <w:szCs w:val="22"/>
        </w:rPr>
        <w:t>Franco Advogados Associados</w:t>
      </w:r>
    </w:p>
    <w:p w14:paraId="3CACA65A" w14:textId="4676A9EE" w:rsidR="00F16E23" w:rsidRDefault="00F16E23" w:rsidP="00685CBD">
      <w:pPr>
        <w:spacing w:after="240" w:line="360" w:lineRule="auto"/>
        <w:jc w:val="both"/>
        <w:rPr>
          <w:rFonts w:asciiTheme="majorHAnsi" w:hAnsiTheme="majorHAnsi"/>
          <w:sz w:val="22"/>
          <w:szCs w:val="22"/>
        </w:rPr>
      </w:pPr>
      <w:r>
        <w:rPr>
          <w:rFonts w:asciiTheme="majorHAnsi" w:hAnsiTheme="majorHAnsi"/>
          <w:sz w:val="22"/>
          <w:szCs w:val="22"/>
        </w:rPr>
        <w:t>13.01.2016</w:t>
      </w:r>
    </w:p>
    <w:p w14:paraId="26809FEC" w14:textId="77777777" w:rsidR="00F16E23" w:rsidRPr="002F0018" w:rsidRDefault="00F16E23" w:rsidP="00685CBD">
      <w:pPr>
        <w:spacing w:after="240" w:line="360" w:lineRule="auto"/>
        <w:jc w:val="both"/>
        <w:rPr>
          <w:rFonts w:asciiTheme="majorHAnsi" w:hAnsiTheme="majorHAnsi"/>
          <w:sz w:val="22"/>
          <w:szCs w:val="22"/>
        </w:rPr>
      </w:pPr>
    </w:p>
    <w:sectPr w:rsidR="00F16E23" w:rsidRPr="002F0018" w:rsidSect="00E20C3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991C" w14:textId="77777777" w:rsidR="00F868CE" w:rsidRDefault="00F868CE" w:rsidP="00121457">
      <w:r>
        <w:separator/>
      </w:r>
    </w:p>
  </w:endnote>
  <w:endnote w:type="continuationSeparator" w:id="0">
    <w:p w14:paraId="52AA8AD0" w14:textId="77777777" w:rsidR="00F868CE" w:rsidRDefault="00F868CE" w:rsidP="0012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entury Schoolbook">
    <w:panose1 w:val="020406040505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57AE" w14:textId="77777777" w:rsidR="00F868CE" w:rsidRDefault="00F868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F868CE" w14:paraId="64AB3E0E" w14:textId="77777777" w:rsidTr="004A0BCE">
      <w:tc>
        <w:tcPr>
          <w:tcW w:w="8644" w:type="dxa"/>
          <w:shd w:val="clear" w:color="auto" w:fill="943634" w:themeFill="accent2" w:themeFillShade="BF"/>
        </w:tcPr>
        <w:p w14:paraId="07D07F2B" w14:textId="77777777" w:rsidR="00F868CE" w:rsidRPr="00380FA8" w:rsidRDefault="00F868CE" w:rsidP="004A0BCE">
          <w:pPr>
            <w:pStyle w:val="Header"/>
            <w:rPr>
              <w:sz w:val="2"/>
              <w:szCs w:val="2"/>
            </w:rPr>
          </w:pPr>
        </w:p>
      </w:tc>
    </w:tr>
  </w:tbl>
  <w:p w14:paraId="18788A16" w14:textId="77777777" w:rsidR="00F868CE" w:rsidRPr="00F66A58" w:rsidRDefault="00F868CE" w:rsidP="005833E1">
    <w:pPr>
      <w:pStyle w:val="Header"/>
      <w:jc w:val="center"/>
      <w:rPr>
        <w:smallCaps/>
        <w:sz w:val="14"/>
        <w:szCs w:val="14"/>
      </w:rPr>
    </w:pPr>
    <w:r w:rsidRPr="00F66A58">
      <w:rPr>
        <w:smallCaps/>
        <w:sz w:val="14"/>
        <w:szCs w:val="14"/>
      </w:rPr>
      <w:t xml:space="preserve">Franco Advogados Associados – Alameda Santos, 1470 – 4º andar, cjs. 407/408/409 – CEP 01418-100 – Jardins – São Paulo (Capital) – </w:t>
    </w:r>
    <w:proofErr w:type="spellStart"/>
    <w:r w:rsidRPr="00F66A58">
      <w:rPr>
        <w:smallCaps/>
        <w:sz w:val="14"/>
        <w:szCs w:val="14"/>
      </w:rPr>
      <w:t>Tel</w:t>
    </w:r>
    <w:proofErr w:type="spellEnd"/>
    <w:r w:rsidRPr="00F66A58">
      <w:rPr>
        <w:smallCaps/>
        <w:sz w:val="14"/>
        <w:szCs w:val="14"/>
      </w:rPr>
      <w:t>: 11 3266-8592</w:t>
    </w:r>
  </w:p>
  <w:p w14:paraId="63563027" w14:textId="77777777" w:rsidR="00F868CE" w:rsidRPr="00F66A58" w:rsidRDefault="00F868CE" w:rsidP="005833E1">
    <w:pPr>
      <w:pStyle w:val="Header"/>
      <w:jc w:val="center"/>
      <w:rPr>
        <w:smallCaps/>
        <w:sz w:val="14"/>
        <w:szCs w:val="14"/>
      </w:rPr>
    </w:pPr>
    <w:r w:rsidRPr="00F66A58">
      <w:rPr>
        <w:smallCaps/>
        <w:sz w:val="14"/>
        <w:szCs w:val="14"/>
      </w:rPr>
      <w:t>www.francoadvogados.com.br</w:t>
    </w:r>
  </w:p>
  <w:p w14:paraId="7C8230EA" w14:textId="77777777" w:rsidR="00F868CE" w:rsidRPr="00F66A58" w:rsidRDefault="00F868CE" w:rsidP="005833E1">
    <w:pPr>
      <w:pStyle w:val="Header"/>
      <w:jc w:val="center"/>
      <w:rPr>
        <w:smallCaps/>
        <w:sz w:val="14"/>
        <w:szCs w:val="14"/>
      </w:rPr>
    </w:pPr>
    <w:r w:rsidRPr="00F66A58">
      <w:rPr>
        <w:smallCaps/>
        <w:sz w:val="14"/>
        <w:szCs w:val="14"/>
      </w:rPr>
      <w:t xml:space="preserve">franco@francoadvogados.com.br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233"/>
    </w:tblGrid>
    <w:tr w:rsidR="00F868CE" w:rsidRPr="00422040" w14:paraId="1F44ADDD" w14:textId="77777777" w:rsidTr="004A0BCE">
      <w:tc>
        <w:tcPr>
          <w:tcW w:w="6487" w:type="dxa"/>
        </w:tcPr>
        <w:p w14:paraId="299B7EAA" w14:textId="77777777" w:rsidR="00F868CE" w:rsidRPr="005833E1" w:rsidRDefault="00F868CE" w:rsidP="004A0BCE">
          <w:pPr>
            <w:pStyle w:val="Footer"/>
            <w:rPr>
              <w:sz w:val="8"/>
              <w:szCs w:val="8"/>
            </w:rPr>
          </w:pPr>
          <w:r w:rsidRPr="005833E1">
            <w:rPr>
              <w:sz w:val="8"/>
              <w:szCs w:val="8"/>
            </w:rPr>
            <w:fldChar w:fldCharType="begin"/>
          </w:r>
          <w:r w:rsidRPr="005833E1">
            <w:rPr>
              <w:sz w:val="8"/>
              <w:szCs w:val="8"/>
            </w:rPr>
            <w:instrText xml:space="preserve"> FILENAME \p </w:instrText>
          </w:r>
          <w:r w:rsidRPr="005833E1">
            <w:rPr>
              <w:sz w:val="8"/>
              <w:szCs w:val="8"/>
            </w:rPr>
            <w:fldChar w:fldCharType="separate"/>
          </w:r>
          <w:r>
            <w:rPr>
              <w:noProof/>
              <w:sz w:val="8"/>
              <w:szCs w:val="8"/>
            </w:rPr>
            <w:t>G:\PEN DRIVE (2G)\MODELO\franco advogados(14.6.13)-letter sample-picture.docx</w:t>
          </w:r>
          <w:r w:rsidRPr="005833E1">
            <w:rPr>
              <w:sz w:val="8"/>
              <w:szCs w:val="8"/>
            </w:rPr>
            <w:fldChar w:fldCharType="end"/>
          </w:r>
        </w:p>
      </w:tc>
      <w:tc>
        <w:tcPr>
          <w:tcW w:w="2233" w:type="dxa"/>
        </w:tcPr>
        <w:p w14:paraId="4D570AC3" w14:textId="77777777" w:rsidR="00F868CE" w:rsidRPr="005833E1" w:rsidRDefault="00F868CE" w:rsidP="004A0BCE">
          <w:pPr>
            <w:pStyle w:val="Footer"/>
            <w:jc w:val="right"/>
            <w:rPr>
              <w:sz w:val="8"/>
              <w:szCs w:val="8"/>
            </w:rPr>
          </w:pPr>
          <w:r w:rsidRPr="005833E1">
            <w:rPr>
              <w:sz w:val="8"/>
              <w:szCs w:val="8"/>
            </w:rPr>
            <w:fldChar w:fldCharType="begin"/>
          </w:r>
          <w:r w:rsidRPr="005833E1">
            <w:rPr>
              <w:sz w:val="8"/>
              <w:szCs w:val="8"/>
            </w:rPr>
            <w:instrText xml:space="preserve"> TIME \@ "dd/MM/yy h:mm:ss am/pm" </w:instrText>
          </w:r>
          <w:r w:rsidRPr="005833E1">
            <w:rPr>
              <w:sz w:val="8"/>
              <w:szCs w:val="8"/>
            </w:rPr>
            <w:fldChar w:fldCharType="separate"/>
          </w:r>
          <w:r w:rsidR="0033291C">
            <w:rPr>
              <w:noProof/>
              <w:sz w:val="8"/>
              <w:szCs w:val="8"/>
            </w:rPr>
            <w:t>13/01/16 11:46:46 am</w:t>
          </w:r>
          <w:r w:rsidRPr="005833E1">
            <w:rPr>
              <w:sz w:val="8"/>
              <w:szCs w:val="8"/>
            </w:rPr>
            <w:fldChar w:fldCharType="end"/>
          </w:r>
        </w:p>
      </w:tc>
    </w:tr>
  </w:tbl>
  <w:p w14:paraId="28CEB4A7" w14:textId="77777777" w:rsidR="00F868CE" w:rsidRDefault="00F868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22C0" w14:textId="77777777" w:rsidR="00F868CE" w:rsidRDefault="00F868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39AE8" w14:textId="77777777" w:rsidR="00F868CE" w:rsidRDefault="00F868CE" w:rsidP="00121457">
      <w:r>
        <w:separator/>
      </w:r>
    </w:p>
  </w:footnote>
  <w:footnote w:type="continuationSeparator" w:id="0">
    <w:p w14:paraId="583F109E" w14:textId="77777777" w:rsidR="00F868CE" w:rsidRDefault="00F868CE" w:rsidP="00121457">
      <w:r>
        <w:continuationSeparator/>
      </w:r>
    </w:p>
  </w:footnote>
  <w:footnote w:id="1">
    <w:p w14:paraId="6318FCC9" w14:textId="15AF5CA4" w:rsidR="00D22752" w:rsidRPr="00D22752" w:rsidRDefault="00D22752">
      <w:pPr>
        <w:pStyle w:val="FootnoteText"/>
      </w:pPr>
      <w:r>
        <w:rPr>
          <w:rStyle w:val="FootnoteReference"/>
        </w:rPr>
        <w:footnoteRef/>
      </w:r>
      <w:r>
        <w:t xml:space="preserve"> </w:t>
      </w:r>
      <w:r w:rsidR="008015B9">
        <w:t>A ilicitude está no descumprimento, pelo shopping, de sua obrigação de fiscalizar e exigir o cumprimento dos aspectos de segurança (alimentar e contra incêndio). E, do lojista, de sua obrigação de efetuar a inspeção e limpeza efetivamente eficaz – e não aquela ineficaz realizada apenas para atender às exigências de segurança e que nada resolvem, conforme a prática demonstra.</w:t>
      </w:r>
    </w:p>
  </w:footnote>
  <w:footnote w:id="2">
    <w:p w14:paraId="3C1643E5" w14:textId="5DE3C26C" w:rsidR="008015B9" w:rsidRPr="00D22752" w:rsidRDefault="008015B9" w:rsidP="008015B9">
      <w:pPr>
        <w:pStyle w:val="FootnoteText"/>
      </w:pPr>
      <w:r>
        <w:rPr>
          <w:rStyle w:val="FootnoteReference"/>
        </w:rPr>
        <w:footnoteRef/>
      </w:r>
      <w:r>
        <w:t xml:space="preserve"> </w:t>
      </w:r>
      <w:r w:rsidRPr="00D22752">
        <w:t>O</w:t>
      </w:r>
      <w:r>
        <w:t xml:space="preserve"> art</w:t>
      </w:r>
      <w:r w:rsidRPr="00D22752">
        <w:t xml:space="preserve">. </w:t>
      </w:r>
      <w:r>
        <w:t>927, caput,</w:t>
      </w:r>
      <w:r w:rsidRPr="00D22752">
        <w:t xml:space="preserve"> do Có</w:t>
      </w:r>
      <w:r>
        <w:t>digo Civil trata</w:t>
      </w:r>
      <w:r w:rsidRPr="00D22752">
        <w:t xml:space="preserve"> da responsabilidade subjetiva, isto é, aquela cuja </w:t>
      </w:r>
      <w:r>
        <w:t>culpa depende de prova do dano e, sobretudo, determinação (culpa) daquele que o tenha causado. Ou seja, a simples existência do dano (prejuízo) não significa automática responsabilização do seu causador. É preciso provar a culpa.</w:t>
      </w:r>
    </w:p>
    <w:p w14:paraId="363516FE" w14:textId="3771C41C" w:rsidR="008015B9" w:rsidRPr="008015B9" w:rsidRDefault="008015B9">
      <w:pPr>
        <w:pStyle w:val="FootnoteText"/>
        <w:rPr>
          <w:lang w:val="en-US"/>
        </w:rPr>
      </w:pPr>
    </w:p>
  </w:footnote>
  <w:footnote w:id="3">
    <w:p w14:paraId="5CB91C10" w14:textId="1D196C9C" w:rsidR="00D22752" w:rsidRPr="00D22752" w:rsidRDefault="00D22752">
      <w:pPr>
        <w:pStyle w:val="FootnoteText"/>
      </w:pPr>
      <w:r w:rsidRPr="00D22752">
        <w:rPr>
          <w:rStyle w:val="FootnoteReference"/>
        </w:rPr>
        <w:footnoteRef/>
      </w:r>
      <w:r w:rsidRPr="00D22752">
        <w:t xml:space="preserve"> </w:t>
      </w:r>
      <w:r w:rsidRPr="00D22752">
        <w:t>O art. 927</w:t>
      </w:r>
      <w:r w:rsidR="008015B9">
        <w:t>, par. único,</w:t>
      </w:r>
      <w:r w:rsidRPr="00D22752">
        <w:t xml:space="preserve"> do Código Civil cuida da responsabilidade objetiva.</w:t>
      </w:r>
      <w:r>
        <w:t xml:space="preserve"> E esta se distingue da responsabilidade subjetiva (vide Nota de Rodapé nº </w:t>
      </w:r>
      <w:r w:rsidR="008015B9">
        <w:t>2</w:t>
      </w:r>
      <w:r>
        <w:t xml:space="preserve">) porque neste caso a culpa independe de prova. Ou seja, basta a ocorrência do dano para incidir a obrigação do agente causador de indenizar aquele que tenha sido prejudicado. Apenas para esclarecer melhor: em muitos contratos são inseridas cláusulas de responsabilizações que preveem a obrigação de reparação do prejuízo quando </w:t>
      </w:r>
      <w:r w:rsidR="00642C34">
        <w:t xml:space="preserve">comprovada a culpa de uma ou outra parte contratante. Se </w:t>
      </w:r>
      <w:proofErr w:type="spellStart"/>
      <w:r w:rsidR="00642C34">
        <w:t>se</w:t>
      </w:r>
      <w:proofErr w:type="spellEnd"/>
      <w:r w:rsidR="00642C34">
        <w:t xml:space="preserve"> tratar de hipótese submetida às regras do art. 927 do Código Civil, a obrigação de reparar o dano independerá de tal comprovação. Uma dessas hipóteses de submissão às regras do art. 927</w:t>
      </w:r>
      <w:r w:rsidR="00F16E23">
        <w:t>,</w:t>
      </w:r>
      <w:r w:rsidR="00642C34">
        <w:t xml:space="preserve"> ao invés de </w:t>
      </w:r>
      <w:r w:rsidR="00F16E23">
        <w:t>às d</w:t>
      </w:r>
      <w:r w:rsidR="00642C34">
        <w:t xml:space="preserve">o art. 186 do Código Civil, é a existência de previsão legal que impute </w:t>
      </w:r>
      <w:r w:rsidR="00F16E23">
        <w:t>culpa objetiva</w:t>
      </w:r>
      <w:r w:rsidR="00F16E23">
        <w:t xml:space="preserve"> </w:t>
      </w:r>
      <w:r w:rsidR="00642C34">
        <w:t>a determinada conduta. Outra hipótese é tratar-se de relação de consumo abrangida pelas regras do Código de Defesa do Consumidor, como aquela atrás comentada, fundada no art. 17 do CDC.</w:t>
      </w:r>
    </w:p>
  </w:footnote>
  <w:footnote w:id="4">
    <w:p w14:paraId="3815FF70" w14:textId="4B82725A" w:rsidR="008015B9" w:rsidRPr="008015B9" w:rsidRDefault="008015B9">
      <w:pPr>
        <w:pStyle w:val="FootnoteText"/>
      </w:pPr>
      <w:r>
        <w:rPr>
          <w:rStyle w:val="FootnoteReference"/>
        </w:rPr>
        <w:footnoteRef/>
      </w:r>
      <w:r>
        <w:t xml:space="preserve"> </w:t>
      </w:r>
      <w:r w:rsidRPr="008015B9">
        <w:t>Dolo</w:t>
      </w:r>
      <w:r>
        <w:t xml:space="preserve"> é igual à</w:t>
      </w:r>
      <w:r w:rsidRPr="008015B9">
        <w:t xml:space="preserve"> vontade consciente de atingir o resultado danoso a terceiro.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CA77" w14:textId="77777777" w:rsidR="00F868CE" w:rsidRDefault="00F868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D13" w14:textId="77777777" w:rsidR="00F868CE" w:rsidRPr="00E20C37" w:rsidRDefault="00F868CE" w:rsidP="00E20C37">
    <w:pPr>
      <w:pStyle w:val="Header"/>
      <w:jc w:val="right"/>
      <w:rPr>
        <w:sz w:val="14"/>
        <w:szCs w:val="14"/>
      </w:rPr>
    </w:pPr>
    <w:r w:rsidRPr="00E20C37">
      <w:rPr>
        <w:sz w:val="14"/>
        <w:szCs w:val="14"/>
      </w:rPr>
      <w:t xml:space="preserve">Página </w:t>
    </w:r>
    <w:r w:rsidRPr="00E20C37">
      <w:rPr>
        <w:sz w:val="14"/>
        <w:szCs w:val="14"/>
      </w:rPr>
      <w:fldChar w:fldCharType="begin"/>
    </w:r>
    <w:r w:rsidRPr="00E20C37">
      <w:rPr>
        <w:sz w:val="14"/>
        <w:szCs w:val="14"/>
      </w:rPr>
      <w:instrText xml:space="preserve"> PAGE </w:instrText>
    </w:r>
    <w:r w:rsidRPr="00E20C37">
      <w:rPr>
        <w:sz w:val="14"/>
        <w:szCs w:val="14"/>
      </w:rPr>
      <w:fldChar w:fldCharType="separate"/>
    </w:r>
    <w:r w:rsidR="006C5D38">
      <w:rPr>
        <w:noProof/>
        <w:sz w:val="14"/>
        <w:szCs w:val="14"/>
      </w:rPr>
      <w:t>10</w:t>
    </w:r>
    <w:r w:rsidRPr="00E20C37">
      <w:rPr>
        <w:sz w:val="14"/>
        <w:szCs w:val="14"/>
      </w:rPr>
      <w:fldChar w:fldCharType="end"/>
    </w:r>
    <w:r w:rsidRPr="00E20C37">
      <w:rPr>
        <w:sz w:val="14"/>
        <w:szCs w:val="14"/>
      </w:rPr>
      <w:t xml:space="preserve"> de </w:t>
    </w:r>
    <w:r w:rsidRPr="00E20C37">
      <w:rPr>
        <w:sz w:val="14"/>
        <w:szCs w:val="14"/>
      </w:rPr>
      <w:fldChar w:fldCharType="begin"/>
    </w:r>
    <w:r w:rsidRPr="00E20C37">
      <w:rPr>
        <w:sz w:val="14"/>
        <w:szCs w:val="14"/>
      </w:rPr>
      <w:instrText xml:space="preserve"> NUMPAGES </w:instrText>
    </w:r>
    <w:r w:rsidRPr="00E20C37">
      <w:rPr>
        <w:sz w:val="14"/>
        <w:szCs w:val="14"/>
      </w:rPr>
      <w:fldChar w:fldCharType="separate"/>
    </w:r>
    <w:r w:rsidR="006C5D38">
      <w:rPr>
        <w:noProof/>
        <w:sz w:val="14"/>
        <w:szCs w:val="14"/>
      </w:rPr>
      <w:t>10</w:t>
    </w:r>
    <w:r w:rsidRPr="00E20C37">
      <w:rPr>
        <w:sz w:val="14"/>
        <w:szCs w:val="14"/>
      </w:rPr>
      <w:fldChar w:fldCharType="end"/>
    </w:r>
  </w:p>
  <w:p w14:paraId="36F27A82" w14:textId="77777777" w:rsidR="00F868CE" w:rsidRDefault="00F868CE">
    <w:pPr>
      <w:pStyle w:val="Header"/>
    </w:pPr>
  </w:p>
  <w:p w14:paraId="0F52A772" w14:textId="77777777" w:rsidR="00F868CE" w:rsidRDefault="00F868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308D" w14:textId="77777777" w:rsidR="00F868CE" w:rsidRDefault="0033291C" w:rsidP="00E20C37">
    <w:pPr>
      <w:pStyle w:val="Header"/>
    </w:pPr>
    <w:r>
      <w:rPr>
        <w:noProof/>
        <w:lang w:val="en-US"/>
      </w:rPr>
      <mc:AlternateContent>
        <mc:Choice Requires="wps">
          <w:drawing>
            <wp:anchor distT="0" distB="0" distL="114300" distR="114300" simplePos="0" relativeHeight="251662336" behindDoc="0" locked="0" layoutInCell="1" allowOverlap="1" wp14:anchorId="280A7D03" wp14:editId="356AA24C">
              <wp:simplePos x="0" y="0"/>
              <wp:positionH relativeFrom="column">
                <wp:posOffset>-39370</wp:posOffset>
              </wp:positionH>
              <wp:positionV relativeFrom="paragraph">
                <wp:posOffset>137160</wp:posOffset>
              </wp:positionV>
              <wp:extent cx="1835150" cy="1037590"/>
              <wp:effectExtent l="11430" t="10160" r="762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037590"/>
                      </a:xfrm>
                      <a:prstGeom prst="rect">
                        <a:avLst/>
                      </a:prstGeom>
                      <a:solidFill>
                        <a:srgbClr val="FFFFFF"/>
                      </a:solidFill>
                      <a:ln w="19050">
                        <a:solidFill>
                          <a:schemeClr val="bg1">
                            <a:lumMod val="100000"/>
                            <a:lumOff val="0"/>
                          </a:schemeClr>
                        </a:solidFill>
                        <a:miter lim="800000"/>
                        <a:headEnd/>
                        <a:tailEnd/>
                      </a:ln>
                    </wps:spPr>
                    <wps:txbx>
                      <w:txbxContent>
                        <w:p w14:paraId="56E11F04" w14:textId="77777777" w:rsidR="00F868CE" w:rsidRDefault="00F868CE" w:rsidP="00E20C37">
                          <w:pPr>
                            <w:pStyle w:val="Header"/>
                          </w:pPr>
                          <w:r w:rsidRPr="00A82646">
                            <w:rPr>
                              <w:noProof/>
                              <w:lang w:val="en-US"/>
                            </w:rPr>
                            <w:drawing>
                              <wp:inline distT="0" distB="0" distL="0" distR="0" wp14:anchorId="3BD6EFC8" wp14:editId="3FB991F0">
                                <wp:extent cx="1619745" cy="860961"/>
                                <wp:effectExtent l="19050" t="0" r="0" b="0"/>
                                <wp:docPr id="3" name="Picture 3" descr="C:\Users\fernando\Desktop\VINH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o\Desktop\VINHETA.jpg"/>
                                        <pic:cNvPicPr>
                                          <a:picLocks noChangeAspect="1" noChangeArrowheads="1"/>
                                        </pic:cNvPicPr>
                                      </pic:nvPicPr>
                                      <pic:blipFill>
                                        <a:blip r:embed="rId1" cstate="print">
                                          <a:extLst>
                                            <a:ext uri="{28A0092B-C50C-407E-A947-70E740481C1C}">
                                              <a14:useLocalDpi xmlns:a14="http://schemas.microsoft.com/office/drawing/2010/main" val="0"/>
                                            </a:ext>
                                          </a:extLst>
                                        </a:blip>
                                        <a:srcRect r="70161" b="53114"/>
                                        <a:stretch>
                                          <a:fillRect/>
                                        </a:stretch>
                                      </pic:blipFill>
                                      <pic:spPr bwMode="auto">
                                        <a:xfrm>
                                          <a:off x="0" y="0"/>
                                          <a:ext cx="1625766" cy="864161"/>
                                        </a:xfrm>
                                        <a:prstGeom prst="rect">
                                          <a:avLst/>
                                        </a:prstGeom>
                                        <a:noFill/>
                                        <a:ln>
                                          <a:noFill/>
                                        </a:ln>
                                      </pic:spPr>
                                    </pic:pic>
                                  </a:graphicData>
                                </a:graphic>
                              </wp:inline>
                            </w:drawing>
                          </w:r>
                        </w:p>
                        <w:p w14:paraId="156FBB64" w14:textId="77777777" w:rsidR="00F868CE" w:rsidRDefault="00F868CE" w:rsidP="00E20C37">
                          <w:pPr>
                            <w:pStyle w:val="Header"/>
                          </w:pPr>
                        </w:p>
                        <w:p w14:paraId="7A74A41F" w14:textId="77777777" w:rsidR="00F868CE" w:rsidRDefault="00F868CE" w:rsidP="00E20C37">
                          <w:pPr>
                            <w:pStyle w:val="Header"/>
                          </w:pPr>
                        </w:p>
                        <w:p w14:paraId="67C92D53" w14:textId="77777777" w:rsidR="00F868CE" w:rsidRDefault="00F868CE" w:rsidP="00E20C37">
                          <w:pPr>
                            <w:pStyle w:val="Header"/>
                          </w:pPr>
                        </w:p>
                        <w:p w14:paraId="2BDCB0EE" w14:textId="77777777" w:rsidR="00F868CE" w:rsidRDefault="00F868CE" w:rsidP="00E20C37">
                          <w:pPr>
                            <w:pStyle w:val="Header"/>
                          </w:pPr>
                        </w:p>
                        <w:p w14:paraId="4C7C63E4" w14:textId="77777777" w:rsidR="00F868CE" w:rsidRDefault="00F868CE" w:rsidP="00E20C37">
                          <w:pPr>
                            <w:pStyle w:val="Header"/>
                          </w:pPr>
                        </w:p>
                        <w:p w14:paraId="5B10FBF7" w14:textId="77777777" w:rsidR="00F868CE" w:rsidRDefault="00F868CE" w:rsidP="00E20C37">
                          <w:pPr>
                            <w:pStyle w:val="Header"/>
                          </w:pPr>
                        </w:p>
                        <w:p w14:paraId="359F2047" w14:textId="77777777" w:rsidR="00F868CE" w:rsidRPr="00D61D87" w:rsidRDefault="00F868CE" w:rsidP="00E20C37">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05pt;margin-top:10.8pt;width:144.5pt;height:8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" strokecolor="white [3212]" strokeweight="1.5pt">
              <v:textbox>
                <w:txbxContent>
                  <w:p w14:paraId="56E11F04" w14:textId="77777777" w:rsidR="00F868CE" w:rsidRDefault="00F868CE" w:rsidP="00E20C37">
                    <w:pPr>
                      <w:pStyle w:val="Header"/>
                    </w:pPr>
                    <w:r w:rsidRPr="00A82646">
                      <w:rPr>
                        <w:noProof/>
                        <w:lang w:val="en-US"/>
                      </w:rPr>
                      <w:drawing>
                        <wp:inline distT="0" distB="0" distL="0" distR="0" wp14:anchorId="3BD6EFC8" wp14:editId="3FB991F0">
                          <wp:extent cx="1619745" cy="860961"/>
                          <wp:effectExtent l="19050" t="0" r="0" b="0"/>
                          <wp:docPr id="3" name="Picture 3" descr="C:\Users\fernando\Desktop\VINH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o\Desktop\VINHETA.jpg"/>
                                  <pic:cNvPicPr>
                                    <a:picLocks noChangeAspect="1" noChangeArrowheads="1"/>
                                  </pic:cNvPicPr>
                                </pic:nvPicPr>
                                <pic:blipFill>
                                  <a:blip r:embed="rId1" cstate="print">
                                    <a:extLst>
                                      <a:ext uri="{28A0092B-C50C-407E-A947-70E740481C1C}">
                                        <a14:useLocalDpi xmlns:a14="http://schemas.microsoft.com/office/drawing/2010/main" val="0"/>
                                      </a:ext>
                                    </a:extLst>
                                  </a:blip>
                                  <a:srcRect r="70161" b="53114"/>
                                  <a:stretch>
                                    <a:fillRect/>
                                  </a:stretch>
                                </pic:blipFill>
                                <pic:spPr bwMode="auto">
                                  <a:xfrm>
                                    <a:off x="0" y="0"/>
                                    <a:ext cx="1625766" cy="864161"/>
                                  </a:xfrm>
                                  <a:prstGeom prst="rect">
                                    <a:avLst/>
                                  </a:prstGeom>
                                  <a:noFill/>
                                  <a:ln>
                                    <a:noFill/>
                                  </a:ln>
                                </pic:spPr>
                              </pic:pic>
                            </a:graphicData>
                          </a:graphic>
                        </wp:inline>
                      </w:drawing>
                    </w:r>
                  </w:p>
                  <w:p w14:paraId="156FBB64" w14:textId="77777777" w:rsidR="00F868CE" w:rsidRDefault="00F868CE" w:rsidP="00E20C37">
                    <w:pPr>
                      <w:pStyle w:val="Header"/>
                    </w:pPr>
                  </w:p>
                  <w:p w14:paraId="7A74A41F" w14:textId="77777777" w:rsidR="00F868CE" w:rsidRDefault="00F868CE" w:rsidP="00E20C37">
                    <w:pPr>
                      <w:pStyle w:val="Header"/>
                    </w:pPr>
                  </w:p>
                  <w:p w14:paraId="67C92D53" w14:textId="77777777" w:rsidR="00F868CE" w:rsidRDefault="00F868CE" w:rsidP="00E20C37">
                    <w:pPr>
                      <w:pStyle w:val="Header"/>
                    </w:pPr>
                  </w:p>
                  <w:p w14:paraId="2BDCB0EE" w14:textId="77777777" w:rsidR="00F868CE" w:rsidRDefault="00F868CE" w:rsidP="00E20C37">
                    <w:pPr>
                      <w:pStyle w:val="Header"/>
                    </w:pPr>
                  </w:p>
                  <w:p w14:paraId="4C7C63E4" w14:textId="77777777" w:rsidR="00F868CE" w:rsidRDefault="00F868CE" w:rsidP="00E20C37">
                    <w:pPr>
                      <w:pStyle w:val="Header"/>
                    </w:pPr>
                  </w:p>
                  <w:p w14:paraId="5B10FBF7" w14:textId="77777777" w:rsidR="00F868CE" w:rsidRDefault="00F868CE" w:rsidP="00E20C37">
                    <w:pPr>
                      <w:pStyle w:val="Header"/>
                    </w:pPr>
                  </w:p>
                  <w:p w14:paraId="359F2047" w14:textId="77777777" w:rsidR="00F868CE" w:rsidRPr="00D61D87" w:rsidRDefault="00F868CE" w:rsidP="00E20C37">
                    <w:pPr>
                      <w:pStyle w:val="Header"/>
                    </w:pPr>
                  </w:p>
                </w:txbxContent>
              </v:textbox>
              <w10:wrap type="square"/>
            </v:shape>
          </w:pict>
        </mc:Fallback>
      </mc:AlternateContent>
    </w:r>
    <w:r w:rsidR="00F868CE">
      <w:t xml:space="preserve"> </w:t>
    </w:r>
  </w:p>
  <w:tbl>
    <w:tblPr>
      <w:tblStyle w:val="TableGri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49"/>
      <w:gridCol w:w="15"/>
    </w:tblGrid>
    <w:tr w:rsidR="00F868CE" w14:paraId="525BBF2E" w14:textId="77777777" w:rsidTr="00BF6607">
      <w:tc>
        <w:tcPr>
          <w:tcW w:w="2410" w:type="dxa"/>
          <w:tcBorders>
            <w:right w:val="single" w:sz="4" w:space="0" w:color="FFFFFF" w:themeColor="background1"/>
          </w:tcBorders>
          <w:shd w:val="clear" w:color="auto" w:fill="943634" w:themeFill="accent2" w:themeFillShade="BF"/>
        </w:tcPr>
        <w:p w14:paraId="2DB1442D" w14:textId="77777777" w:rsidR="00F868CE" w:rsidRPr="00380FA8" w:rsidRDefault="00F868CE" w:rsidP="004A0BCE">
          <w:pPr>
            <w:pStyle w:val="Header"/>
            <w:rPr>
              <w:smallCaps/>
              <w:color w:val="FFFFFF" w:themeColor="background1"/>
              <w:sz w:val="16"/>
              <w:szCs w:val="16"/>
            </w:rPr>
          </w:pPr>
          <w:r w:rsidRPr="00380FA8">
            <w:rPr>
              <w:smallCaps/>
              <w:color w:val="FFFFFF" w:themeColor="background1"/>
              <w:w w:val="150"/>
              <w:sz w:val="16"/>
              <w:szCs w:val="16"/>
            </w:rPr>
            <w:t>advogados</w:t>
          </w:r>
        </w:p>
      </w:tc>
      <w:tc>
        <w:tcPr>
          <w:tcW w:w="3164" w:type="dxa"/>
          <w:gridSpan w:val="2"/>
          <w:tcBorders>
            <w:left w:val="single" w:sz="4" w:space="0" w:color="FFFFFF" w:themeColor="background1"/>
          </w:tcBorders>
          <w:shd w:val="clear" w:color="auto" w:fill="943634" w:themeFill="accent2" w:themeFillShade="BF"/>
        </w:tcPr>
        <w:p w14:paraId="0491399C" w14:textId="77777777" w:rsidR="00F868CE" w:rsidRPr="00450401" w:rsidRDefault="00F868CE" w:rsidP="004A0BCE">
          <w:pPr>
            <w:pStyle w:val="Header"/>
            <w:rPr>
              <w:color w:val="FFFFFF" w:themeColor="background1"/>
              <w:sz w:val="16"/>
              <w:szCs w:val="16"/>
            </w:rPr>
          </w:pPr>
          <w:r w:rsidRPr="00450401">
            <w:rPr>
              <w:smallCaps/>
              <w:color w:val="FFFFFF" w:themeColor="background1"/>
              <w:w w:val="150"/>
              <w:sz w:val="16"/>
              <w:szCs w:val="16"/>
            </w:rPr>
            <w:t>endereço</w:t>
          </w:r>
        </w:p>
      </w:tc>
    </w:tr>
    <w:tr w:rsidR="00F868CE" w:rsidRPr="00EB6A3B" w14:paraId="0E0C14ED" w14:textId="77777777" w:rsidTr="00BF6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79"/>
      </w:trPr>
      <w:tc>
        <w:tcPr>
          <w:tcW w:w="2410" w:type="dxa"/>
          <w:tcBorders>
            <w:top w:val="nil"/>
            <w:left w:val="nil"/>
            <w:bottom w:val="single" w:sz="4" w:space="0" w:color="C00000"/>
            <w:right w:val="nil"/>
          </w:tcBorders>
        </w:tcPr>
        <w:p w14:paraId="24C239AE" w14:textId="77777777" w:rsidR="00F868CE" w:rsidRPr="00AA6BE8" w:rsidRDefault="00F868CE" w:rsidP="004A0BCE">
          <w:pPr>
            <w:pStyle w:val="Header"/>
            <w:rPr>
              <w:smallCaps/>
              <w:color w:val="943634" w:themeColor="accent2" w:themeShade="BF"/>
              <w:sz w:val="16"/>
              <w:szCs w:val="16"/>
            </w:rPr>
          </w:pPr>
          <w:r w:rsidRPr="00AA6BE8">
            <w:rPr>
              <w:smallCaps/>
              <w:color w:val="943634" w:themeColor="accent2" w:themeShade="BF"/>
              <w:sz w:val="16"/>
              <w:szCs w:val="16"/>
            </w:rPr>
            <w:t>adonilson franco</w:t>
          </w:r>
        </w:p>
        <w:p w14:paraId="4A2B8640" w14:textId="77777777" w:rsidR="00F868CE" w:rsidRPr="00AA6BE8" w:rsidRDefault="00F868CE" w:rsidP="004A0BCE">
          <w:pPr>
            <w:pStyle w:val="Header"/>
            <w:rPr>
              <w:smallCaps/>
              <w:color w:val="943634" w:themeColor="accent2" w:themeShade="BF"/>
              <w:sz w:val="16"/>
              <w:szCs w:val="16"/>
            </w:rPr>
          </w:pPr>
          <w:r w:rsidRPr="00AA6BE8">
            <w:rPr>
              <w:smallCaps/>
              <w:color w:val="943634" w:themeColor="accent2" w:themeShade="BF"/>
              <w:sz w:val="16"/>
              <w:szCs w:val="16"/>
            </w:rPr>
            <w:t>rubens pereira de novaes jr</w:t>
          </w:r>
        </w:p>
        <w:p w14:paraId="02CA2E61" w14:textId="77777777" w:rsidR="00F868CE" w:rsidRDefault="00F868CE" w:rsidP="004A0BCE">
          <w:pPr>
            <w:pStyle w:val="Header"/>
            <w:rPr>
              <w:smallCaps/>
              <w:color w:val="943634" w:themeColor="accent2" w:themeShade="BF"/>
              <w:sz w:val="16"/>
              <w:szCs w:val="16"/>
            </w:rPr>
          </w:pPr>
          <w:r>
            <w:rPr>
              <w:smallCaps/>
              <w:color w:val="943634" w:themeColor="accent2" w:themeShade="BF"/>
              <w:sz w:val="16"/>
              <w:szCs w:val="16"/>
            </w:rPr>
            <w:t>cleomedes vilar de vasconcelos</w:t>
          </w:r>
        </w:p>
        <w:p w14:paraId="2161ECA6" w14:textId="77777777" w:rsidR="00F868CE" w:rsidRDefault="00F868CE" w:rsidP="004A0BCE">
          <w:pPr>
            <w:pStyle w:val="Header"/>
            <w:rPr>
              <w:smallCaps/>
              <w:color w:val="943634" w:themeColor="accent2" w:themeShade="BF"/>
              <w:sz w:val="16"/>
              <w:szCs w:val="16"/>
            </w:rPr>
          </w:pPr>
          <w:r w:rsidRPr="00AA6BE8">
            <w:rPr>
              <w:smallCaps/>
              <w:color w:val="943634" w:themeColor="accent2" w:themeShade="BF"/>
              <w:sz w:val="16"/>
              <w:szCs w:val="16"/>
            </w:rPr>
            <w:t>dávila barbosa senziale machado</w:t>
          </w:r>
        </w:p>
        <w:p w14:paraId="44C052A1" w14:textId="77777777" w:rsidR="00F868CE" w:rsidRPr="00AA6BE8" w:rsidRDefault="00F868CE" w:rsidP="0040114B">
          <w:pPr>
            <w:pStyle w:val="Header"/>
            <w:rPr>
              <w:smallCaps/>
              <w:color w:val="943634" w:themeColor="accent2" w:themeShade="BF"/>
              <w:sz w:val="16"/>
              <w:szCs w:val="16"/>
            </w:rPr>
          </w:pPr>
        </w:p>
      </w:tc>
      <w:tc>
        <w:tcPr>
          <w:tcW w:w="3149" w:type="dxa"/>
          <w:tcBorders>
            <w:top w:val="nil"/>
            <w:left w:val="nil"/>
            <w:bottom w:val="single" w:sz="4" w:space="0" w:color="C00000"/>
            <w:right w:val="nil"/>
          </w:tcBorders>
        </w:tcPr>
        <w:p w14:paraId="212ECF6B" w14:textId="77777777" w:rsidR="00F868CE" w:rsidRPr="00AA6BE8" w:rsidRDefault="00F868CE" w:rsidP="004A0BCE">
          <w:pPr>
            <w:pStyle w:val="Header"/>
            <w:rPr>
              <w:color w:val="943634" w:themeColor="accent2" w:themeShade="BF"/>
              <w:sz w:val="16"/>
              <w:szCs w:val="16"/>
            </w:rPr>
          </w:pPr>
          <w:r w:rsidRPr="00AA6BE8">
            <w:rPr>
              <w:color w:val="943634" w:themeColor="accent2" w:themeShade="BF"/>
              <w:sz w:val="16"/>
              <w:szCs w:val="16"/>
            </w:rPr>
            <w:t xml:space="preserve">Al. Santos, 1470 – 4º andar, </w:t>
          </w:r>
          <w:proofErr w:type="spellStart"/>
          <w:r w:rsidRPr="00AA6BE8">
            <w:rPr>
              <w:color w:val="943634" w:themeColor="accent2" w:themeShade="BF"/>
              <w:sz w:val="16"/>
              <w:szCs w:val="16"/>
            </w:rPr>
            <w:t>cjs</w:t>
          </w:r>
          <w:proofErr w:type="spellEnd"/>
          <w:r w:rsidRPr="00AA6BE8">
            <w:rPr>
              <w:color w:val="943634" w:themeColor="accent2" w:themeShade="BF"/>
              <w:sz w:val="16"/>
              <w:szCs w:val="16"/>
            </w:rPr>
            <w:t>. 407/408/409</w:t>
          </w:r>
        </w:p>
        <w:p w14:paraId="1BD8090D" w14:textId="77777777" w:rsidR="00F868CE" w:rsidRPr="00AA6BE8" w:rsidRDefault="00F868CE" w:rsidP="004A0BCE">
          <w:pPr>
            <w:pStyle w:val="Header"/>
            <w:rPr>
              <w:color w:val="943634" w:themeColor="accent2" w:themeShade="BF"/>
              <w:sz w:val="16"/>
              <w:szCs w:val="16"/>
            </w:rPr>
          </w:pPr>
          <w:r w:rsidRPr="00AA6BE8">
            <w:rPr>
              <w:color w:val="943634" w:themeColor="accent2" w:themeShade="BF"/>
              <w:sz w:val="16"/>
              <w:szCs w:val="16"/>
            </w:rPr>
            <w:t>Jardins –</w:t>
          </w:r>
          <w:r>
            <w:rPr>
              <w:color w:val="943634" w:themeColor="accent2" w:themeShade="BF"/>
              <w:sz w:val="16"/>
              <w:szCs w:val="16"/>
            </w:rPr>
            <w:t xml:space="preserve"> São Paulo (SP</w:t>
          </w:r>
          <w:r w:rsidRPr="00AA6BE8">
            <w:rPr>
              <w:color w:val="943634" w:themeColor="accent2" w:themeShade="BF"/>
              <w:sz w:val="16"/>
              <w:szCs w:val="16"/>
            </w:rPr>
            <w:t>) – CEP 01418-100</w:t>
          </w:r>
        </w:p>
        <w:p w14:paraId="49DFEEA5" w14:textId="77777777" w:rsidR="00F868CE" w:rsidRPr="00AA6BE8" w:rsidRDefault="00F868CE" w:rsidP="004A0BCE">
          <w:pPr>
            <w:pStyle w:val="Header"/>
            <w:rPr>
              <w:color w:val="943634" w:themeColor="accent2" w:themeShade="BF"/>
              <w:sz w:val="16"/>
              <w:szCs w:val="16"/>
            </w:rPr>
          </w:pPr>
          <w:r w:rsidRPr="00AA6BE8">
            <w:rPr>
              <w:color w:val="943634" w:themeColor="accent2" w:themeShade="BF"/>
              <w:sz w:val="16"/>
              <w:szCs w:val="16"/>
            </w:rPr>
            <w:t>Tel.: (+55) 11 3266 8592</w:t>
          </w:r>
        </w:p>
        <w:p w14:paraId="2ED30F40" w14:textId="77777777" w:rsidR="00F868CE" w:rsidRPr="00AA6BE8" w:rsidRDefault="00F868CE" w:rsidP="004A0BCE">
          <w:pPr>
            <w:pStyle w:val="Header"/>
            <w:rPr>
              <w:color w:val="943634" w:themeColor="accent2" w:themeShade="BF"/>
              <w:sz w:val="16"/>
              <w:szCs w:val="16"/>
            </w:rPr>
          </w:pPr>
          <w:r w:rsidRPr="00AA6BE8">
            <w:rPr>
              <w:color w:val="943634" w:themeColor="accent2" w:themeShade="BF"/>
              <w:sz w:val="16"/>
              <w:szCs w:val="16"/>
            </w:rPr>
            <w:t>E-mail: franco@francoadvogados.com.br</w:t>
          </w:r>
        </w:p>
        <w:p w14:paraId="71FCE5E2" w14:textId="77777777" w:rsidR="00F868CE" w:rsidRPr="00666CF3" w:rsidRDefault="00F868CE" w:rsidP="0040114B">
          <w:pPr>
            <w:pStyle w:val="Header"/>
            <w:rPr>
              <w:smallCaps/>
              <w:color w:val="943634" w:themeColor="accent2" w:themeShade="BF"/>
              <w:sz w:val="16"/>
              <w:szCs w:val="16"/>
              <w:lang w:val="en-US"/>
            </w:rPr>
          </w:pPr>
          <w:r w:rsidRPr="00666CF3">
            <w:rPr>
              <w:color w:val="943634" w:themeColor="accent2" w:themeShade="BF"/>
              <w:sz w:val="16"/>
              <w:szCs w:val="16"/>
              <w:lang w:val="en-US"/>
            </w:rPr>
            <w:t xml:space="preserve">Web: www.francoadvogados.com.br </w:t>
          </w:r>
        </w:p>
      </w:tc>
    </w:tr>
    <w:tr w:rsidR="00F868CE" w:rsidRPr="00246C74" w14:paraId="0471ECA9" w14:textId="77777777" w:rsidTr="00BF6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163"/>
      </w:trPr>
      <w:tc>
        <w:tcPr>
          <w:tcW w:w="5559" w:type="dxa"/>
          <w:gridSpan w:val="2"/>
          <w:tcBorders>
            <w:top w:val="single" w:sz="4" w:space="0" w:color="C00000"/>
            <w:left w:val="nil"/>
            <w:bottom w:val="single" w:sz="4" w:space="0" w:color="C00000"/>
            <w:right w:val="nil"/>
          </w:tcBorders>
        </w:tcPr>
        <w:p w14:paraId="008B8B76" w14:textId="77777777" w:rsidR="00F868CE" w:rsidRPr="00AA6BE8" w:rsidRDefault="00F868CE" w:rsidP="00BF6607">
          <w:pPr>
            <w:pStyle w:val="Header"/>
            <w:jc w:val="both"/>
            <w:rPr>
              <w:color w:val="943634" w:themeColor="accent2" w:themeShade="BF"/>
              <w:sz w:val="16"/>
              <w:szCs w:val="16"/>
            </w:rPr>
          </w:pPr>
          <w:r>
            <w:rPr>
              <w:smallCaps/>
              <w:color w:val="943634" w:themeColor="accent2" w:themeShade="BF"/>
              <w:sz w:val="16"/>
              <w:szCs w:val="16"/>
            </w:rPr>
            <w:t xml:space="preserve">Cíntia </w:t>
          </w:r>
          <w:proofErr w:type="spellStart"/>
          <w:r>
            <w:rPr>
              <w:smallCaps/>
              <w:color w:val="943634" w:themeColor="accent2" w:themeShade="BF"/>
              <w:sz w:val="16"/>
              <w:szCs w:val="16"/>
            </w:rPr>
            <w:t>Busse</w:t>
          </w:r>
          <w:proofErr w:type="spellEnd"/>
          <w:r>
            <w:rPr>
              <w:smallCaps/>
              <w:color w:val="943634" w:themeColor="accent2" w:themeShade="BF"/>
              <w:sz w:val="16"/>
              <w:szCs w:val="16"/>
            </w:rPr>
            <w:t xml:space="preserve"> (Consultoria Externa): Direito Contratual, Societário, Administrativo e Regulatório, Propriedade Intelectual, Mídia, Entretenimento e Produções Artísticas, Direito Desportivo, Direito Internacional e Comércio Internacional</w:t>
          </w:r>
        </w:p>
      </w:tc>
    </w:tr>
    <w:tr w:rsidR="00F868CE" w:rsidRPr="00246C74" w14:paraId="33B7BF15" w14:textId="77777777" w:rsidTr="00DB5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162"/>
      </w:trPr>
      <w:tc>
        <w:tcPr>
          <w:tcW w:w="5559" w:type="dxa"/>
          <w:gridSpan w:val="2"/>
          <w:tcBorders>
            <w:top w:val="single" w:sz="4" w:space="0" w:color="C00000"/>
            <w:left w:val="nil"/>
            <w:bottom w:val="nil"/>
            <w:right w:val="nil"/>
          </w:tcBorders>
        </w:tcPr>
        <w:p w14:paraId="2190CB1E" w14:textId="77777777" w:rsidR="00F868CE" w:rsidRDefault="00F868CE" w:rsidP="00BF6607">
          <w:pPr>
            <w:pStyle w:val="Header"/>
            <w:jc w:val="center"/>
            <w:rPr>
              <w:smallCaps/>
              <w:color w:val="943634" w:themeColor="accent2" w:themeShade="BF"/>
              <w:sz w:val="16"/>
              <w:szCs w:val="16"/>
            </w:rPr>
          </w:pPr>
          <w:r>
            <w:rPr>
              <w:smallCaps/>
              <w:color w:val="943634" w:themeColor="accent2" w:themeShade="BF"/>
              <w:sz w:val="16"/>
              <w:szCs w:val="16"/>
            </w:rPr>
            <w:t>Correspondentes:</w:t>
          </w:r>
        </w:p>
        <w:p w14:paraId="4ACCF3F4" w14:textId="77777777" w:rsidR="00F868CE" w:rsidRDefault="00F868CE" w:rsidP="00BF6607">
          <w:pPr>
            <w:pStyle w:val="Header"/>
            <w:jc w:val="center"/>
            <w:rPr>
              <w:smallCaps/>
              <w:color w:val="943634" w:themeColor="accent2" w:themeShade="BF"/>
              <w:sz w:val="16"/>
              <w:szCs w:val="16"/>
            </w:rPr>
          </w:pPr>
          <w:r>
            <w:rPr>
              <w:smallCaps/>
              <w:color w:val="943634" w:themeColor="accent2" w:themeShade="BF"/>
              <w:sz w:val="16"/>
              <w:szCs w:val="16"/>
            </w:rPr>
            <w:t xml:space="preserve">Belo Horizonte – Blumenau – Campinas – Cuiabá – Distrito Federal – Fortaleza – Recife - Manaus – Porto Alegre –Rio de Janeiro – Santa Catarina – São </w:t>
          </w:r>
          <w:proofErr w:type="spellStart"/>
          <w:r>
            <w:rPr>
              <w:smallCaps/>
              <w:color w:val="943634" w:themeColor="accent2" w:themeShade="BF"/>
              <w:sz w:val="16"/>
              <w:szCs w:val="16"/>
            </w:rPr>
            <w:t>Luis</w:t>
          </w:r>
          <w:proofErr w:type="spellEnd"/>
          <w:r>
            <w:rPr>
              <w:smallCaps/>
              <w:color w:val="943634" w:themeColor="accent2" w:themeShade="BF"/>
              <w:sz w:val="16"/>
              <w:szCs w:val="16"/>
            </w:rPr>
            <w:t xml:space="preserve"> </w:t>
          </w:r>
        </w:p>
      </w:tc>
    </w:tr>
  </w:tbl>
  <w:p w14:paraId="2B2A45EC" w14:textId="77777777" w:rsidR="00F868CE" w:rsidRPr="00246C74" w:rsidRDefault="00F868CE" w:rsidP="00E20C37">
    <w:pPr>
      <w:pStyle w:val="Heade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F868CE" w:rsidRPr="00246C74" w14:paraId="358ADCC0" w14:textId="77777777" w:rsidTr="004A0BCE">
      <w:tc>
        <w:tcPr>
          <w:tcW w:w="8644" w:type="dxa"/>
          <w:shd w:val="clear" w:color="auto" w:fill="943634" w:themeFill="accent2" w:themeFillShade="BF"/>
        </w:tcPr>
        <w:p w14:paraId="0FC9388B" w14:textId="77777777" w:rsidR="00F868CE" w:rsidRPr="00450401" w:rsidRDefault="00F868CE" w:rsidP="004A0BCE">
          <w:pPr>
            <w:pStyle w:val="Header"/>
            <w:rPr>
              <w:color w:val="FFFFFF" w:themeColor="background1"/>
              <w:sz w:val="18"/>
              <w:szCs w:val="18"/>
            </w:rPr>
          </w:pPr>
          <w:r>
            <w:rPr>
              <w:smallCaps/>
              <w:color w:val="FFFFFF" w:themeColor="background1"/>
              <w:w w:val="150"/>
              <w:sz w:val="16"/>
              <w:szCs w:val="16"/>
            </w:rPr>
            <w:t xml:space="preserve">atuações </w:t>
          </w:r>
        </w:p>
      </w:tc>
    </w:tr>
  </w:tbl>
  <w:p w14:paraId="2B438AB1" w14:textId="77777777" w:rsidR="00F868CE" w:rsidRPr="00246C74" w:rsidRDefault="00F868CE" w:rsidP="00E20C37">
    <w:pPr>
      <w:pStyle w:val="Heade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F868CE" w:rsidRPr="00246C74" w14:paraId="0F48BD9D" w14:textId="77777777" w:rsidTr="0040114B">
      <w:trPr>
        <w:trHeight w:val="1840"/>
      </w:trPr>
      <w:tc>
        <w:tcPr>
          <w:tcW w:w="4322" w:type="dxa"/>
        </w:tcPr>
        <w:p w14:paraId="592C7314" w14:textId="77777777" w:rsidR="00F868CE" w:rsidRPr="00246C74" w:rsidRDefault="00F868CE" w:rsidP="004A0BCE">
          <w:pPr>
            <w:pStyle w:val="Header"/>
            <w:numPr>
              <w:ilvl w:val="0"/>
              <w:numId w:val="1"/>
            </w:numPr>
            <w:ind w:left="142" w:hanging="142"/>
            <w:rPr>
              <w:color w:val="595959" w:themeColor="text1" w:themeTint="A6"/>
              <w:sz w:val="14"/>
              <w:szCs w:val="14"/>
            </w:rPr>
          </w:pPr>
          <w:r w:rsidRPr="00246C74">
            <w:rPr>
              <w:smallCaps/>
              <w:color w:val="595959" w:themeColor="text1" w:themeTint="A6"/>
              <w:sz w:val="14"/>
              <w:szCs w:val="14"/>
            </w:rPr>
            <w:t>tributário</w:t>
          </w:r>
        </w:p>
        <w:p w14:paraId="1947AABF" w14:textId="77777777" w:rsidR="00F868CE" w:rsidRPr="00246C74" w:rsidRDefault="00F868CE" w:rsidP="004A0BCE">
          <w:pPr>
            <w:pStyle w:val="Header"/>
            <w:numPr>
              <w:ilvl w:val="0"/>
              <w:numId w:val="1"/>
            </w:numPr>
            <w:ind w:left="142" w:hanging="142"/>
            <w:rPr>
              <w:color w:val="595959" w:themeColor="text1" w:themeTint="A6"/>
              <w:sz w:val="14"/>
              <w:szCs w:val="14"/>
            </w:rPr>
          </w:pPr>
          <w:r w:rsidRPr="00246C74">
            <w:rPr>
              <w:smallCaps/>
              <w:color w:val="595959" w:themeColor="text1" w:themeTint="A6"/>
              <w:sz w:val="14"/>
              <w:szCs w:val="14"/>
            </w:rPr>
            <w:t>societário</w:t>
          </w:r>
        </w:p>
        <w:p w14:paraId="6D6E2B1D" w14:textId="77777777" w:rsidR="00F868CE" w:rsidRPr="00246C74" w:rsidRDefault="00F868CE" w:rsidP="004A0BCE">
          <w:pPr>
            <w:pStyle w:val="Header"/>
            <w:numPr>
              <w:ilvl w:val="0"/>
              <w:numId w:val="1"/>
            </w:numPr>
            <w:ind w:left="142" w:hanging="142"/>
            <w:rPr>
              <w:color w:val="595959" w:themeColor="text1" w:themeTint="A6"/>
              <w:sz w:val="14"/>
              <w:szCs w:val="14"/>
            </w:rPr>
          </w:pPr>
          <w:r w:rsidRPr="00246C74">
            <w:rPr>
              <w:smallCaps/>
              <w:color w:val="595959" w:themeColor="text1" w:themeTint="A6"/>
              <w:sz w:val="14"/>
              <w:szCs w:val="14"/>
            </w:rPr>
            <w:t>planejamento tributário e societário</w:t>
          </w:r>
        </w:p>
        <w:p w14:paraId="3678ED8C" w14:textId="77777777" w:rsidR="00F868CE" w:rsidRPr="00246C74" w:rsidRDefault="00F868CE" w:rsidP="004A0BCE">
          <w:pPr>
            <w:pStyle w:val="Header"/>
            <w:numPr>
              <w:ilvl w:val="0"/>
              <w:numId w:val="1"/>
            </w:numPr>
            <w:ind w:left="142" w:hanging="142"/>
            <w:rPr>
              <w:color w:val="595959" w:themeColor="text1" w:themeTint="A6"/>
              <w:sz w:val="14"/>
              <w:szCs w:val="14"/>
            </w:rPr>
          </w:pPr>
          <w:r w:rsidRPr="00246C74">
            <w:rPr>
              <w:smallCaps/>
              <w:color w:val="595959" w:themeColor="text1" w:themeTint="A6"/>
              <w:sz w:val="14"/>
              <w:szCs w:val="14"/>
            </w:rPr>
            <w:t xml:space="preserve">constituição e extinção de sociedades </w:t>
          </w:r>
        </w:p>
        <w:p w14:paraId="583DF0FE"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defesas fiscais contra autos de infração</w:t>
          </w:r>
        </w:p>
        <w:p w14:paraId="5B533802"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defesas administrativas em geral</w:t>
          </w:r>
        </w:p>
        <w:p w14:paraId="2298889C"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mandados de segurança em direito público</w:t>
          </w:r>
        </w:p>
        <w:p w14:paraId="50BD8104"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ações declaratórias de inexistência de relação jurídico-tributária</w:t>
          </w:r>
        </w:p>
        <w:p w14:paraId="110B6713"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anulatória de débito fiscal</w:t>
          </w:r>
        </w:p>
        <w:p w14:paraId="7D7DF799" w14:textId="77777777" w:rsidR="00F868CE" w:rsidRPr="00246C74" w:rsidRDefault="00F868CE" w:rsidP="0040114B">
          <w:pPr>
            <w:pStyle w:val="Header"/>
            <w:numPr>
              <w:ilvl w:val="0"/>
              <w:numId w:val="1"/>
            </w:numPr>
            <w:ind w:left="142" w:hanging="142"/>
            <w:rPr>
              <w:color w:val="595959" w:themeColor="text1" w:themeTint="A6"/>
              <w:sz w:val="14"/>
              <w:szCs w:val="14"/>
            </w:rPr>
          </w:pPr>
          <w:r w:rsidRPr="00246C74">
            <w:rPr>
              <w:smallCaps/>
              <w:color w:val="595959" w:themeColor="text1" w:themeTint="A6"/>
              <w:sz w:val="14"/>
              <w:szCs w:val="14"/>
            </w:rPr>
            <w:t>execução fiscal</w:t>
          </w:r>
        </w:p>
      </w:tc>
      <w:tc>
        <w:tcPr>
          <w:tcW w:w="4322" w:type="dxa"/>
        </w:tcPr>
        <w:p w14:paraId="6490B585"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licitações públicas (análises de edital, impugnação e recursos licitatórios)</w:t>
          </w:r>
        </w:p>
        <w:p w14:paraId="1E90A2C9"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Recursos e defesas perante tribunais de conta</w:t>
          </w:r>
        </w:p>
        <w:p w14:paraId="2DC1A8FA"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ações judiciais em geral</w:t>
          </w:r>
        </w:p>
        <w:p w14:paraId="797C3BE2"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processos de improbidade administrativa</w:t>
          </w:r>
        </w:p>
        <w:p w14:paraId="2E124EBB"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ações trabalhistas (defesas ou iniciais)</w:t>
          </w:r>
        </w:p>
        <w:p w14:paraId="0F6318B4"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contratos públicos ou privados (inclusive internacionais – em inglês)</w:t>
          </w:r>
        </w:p>
        <w:p w14:paraId="67B770C7"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processos administrativos perante ministérios públicos</w:t>
          </w:r>
        </w:p>
        <w:p w14:paraId="036E75C3"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pareceres jurídicos em direito público e direito privado</w:t>
          </w:r>
        </w:p>
        <w:p w14:paraId="3FA869CB"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marcas e patentes</w:t>
          </w:r>
        </w:p>
        <w:p w14:paraId="3AEF742D" w14:textId="77777777" w:rsidR="00F868CE" w:rsidRPr="00246C74" w:rsidRDefault="00F868CE" w:rsidP="004A0BCE">
          <w:pPr>
            <w:pStyle w:val="Header"/>
            <w:numPr>
              <w:ilvl w:val="0"/>
              <w:numId w:val="1"/>
            </w:numPr>
            <w:ind w:left="142" w:hanging="142"/>
            <w:rPr>
              <w:smallCaps/>
              <w:color w:val="595959" w:themeColor="text1" w:themeTint="A6"/>
              <w:sz w:val="14"/>
              <w:szCs w:val="14"/>
            </w:rPr>
          </w:pPr>
          <w:r w:rsidRPr="00246C74">
            <w:rPr>
              <w:smallCaps/>
              <w:color w:val="595959" w:themeColor="text1" w:themeTint="A6"/>
              <w:sz w:val="14"/>
              <w:szCs w:val="14"/>
            </w:rPr>
            <w:t>falência e recuperação judicial/extrajudicial</w:t>
          </w:r>
        </w:p>
      </w:tc>
    </w:tr>
  </w:tbl>
  <w:p w14:paraId="749EECA6" w14:textId="77777777" w:rsidR="00F868CE" w:rsidRPr="00246C74" w:rsidRDefault="00F868CE" w:rsidP="00E20C37">
    <w:pPr>
      <w:pStyle w:val="Heade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F868CE" w14:paraId="0FD85C65" w14:textId="77777777" w:rsidTr="004A0BCE">
      <w:tc>
        <w:tcPr>
          <w:tcW w:w="8644" w:type="dxa"/>
          <w:shd w:val="clear" w:color="auto" w:fill="943634" w:themeFill="accent2" w:themeFillShade="BF"/>
        </w:tcPr>
        <w:p w14:paraId="0FE99A7D" w14:textId="77777777" w:rsidR="00F868CE" w:rsidRPr="00380FA8" w:rsidRDefault="00F868CE" w:rsidP="004A0BCE">
          <w:pPr>
            <w:pStyle w:val="Header"/>
            <w:rPr>
              <w:sz w:val="2"/>
              <w:szCs w:val="2"/>
            </w:rPr>
          </w:pPr>
        </w:p>
      </w:tc>
    </w:tr>
  </w:tbl>
  <w:p w14:paraId="7A5D3DE5" w14:textId="77777777" w:rsidR="00F868CE" w:rsidRPr="00246C74" w:rsidRDefault="00F868CE" w:rsidP="00E20C37">
    <w:pPr>
      <w:pStyle w:val="Header"/>
      <w:rPr>
        <w:sz w:val="4"/>
        <w:szCs w:val="4"/>
      </w:rPr>
    </w:pPr>
  </w:p>
  <w:p w14:paraId="661C64AA" w14:textId="77777777" w:rsidR="00F868CE" w:rsidRPr="00E20C37" w:rsidRDefault="00F868CE" w:rsidP="00E20C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E09"/>
    <w:multiLevelType w:val="hybridMultilevel"/>
    <w:tmpl w:val="7D084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F3224A"/>
    <w:multiLevelType w:val="hybridMultilevel"/>
    <w:tmpl w:val="413629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B57041"/>
    <w:multiLevelType w:val="hybridMultilevel"/>
    <w:tmpl w:val="6D606A3E"/>
    <w:lvl w:ilvl="0" w:tplc="B28E730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472B7BEF"/>
    <w:multiLevelType w:val="hybridMultilevel"/>
    <w:tmpl w:val="FCB2EE7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57EB2A49"/>
    <w:multiLevelType w:val="hybridMultilevel"/>
    <w:tmpl w:val="36CA6A2A"/>
    <w:lvl w:ilvl="0" w:tplc="4822D7BE">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5F7B30CF"/>
    <w:multiLevelType w:val="hybridMultilevel"/>
    <w:tmpl w:val="1A22F4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57"/>
    <w:rsid w:val="000223C3"/>
    <w:rsid w:val="00047911"/>
    <w:rsid w:val="00056188"/>
    <w:rsid w:val="0006257F"/>
    <w:rsid w:val="00085649"/>
    <w:rsid w:val="000925D4"/>
    <w:rsid w:val="000A7C01"/>
    <w:rsid w:val="000B3BE5"/>
    <w:rsid w:val="000B76C7"/>
    <w:rsid w:val="000C0DD0"/>
    <w:rsid w:val="000E4B1B"/>
    <w:rsid w:val="000F2A44"/>
    <w:rsid w:val="00117706"/>
    <w:rsid w:val="00121457"/>
    <w:rsid w:val="001214C0"/>
    <w:rsid w:val="00170FF5"/>
    <w:rsid w:val="0018631E"/>
    <w:rsid w:val="001875A8"/>
    <w:rsid w:val="001A42B0"/>
    <w:rsid w:val="001A5038"/>
    <w:rsid w:val="002209F5"/>
    <w:rsid w:val="002278C3"/>
    <w:rsid w:val="0024398E"/>
    <w:rsid w:val="002459D6"/>
    <w:rsid w:val="00246C74"/>
    <w:rsid w:val="00250A02"/>
    <w:rsid w:val="00273F81"/>
    <w:rsid w:val="002833C3"/>
    <w:rsid w:val="00295DAD"/>
    <w:rsid w:val="00297C31"/>
    <w:rsid w:val="002B1250"/>
    <w:rsid w:val="002B7AB5"/>
    <w:rsid w:val="002D0021"/>
    <w:rsid w:val="002E50B3"/>
    <w:rsid w:val="002F0018"/>
    <w:rsid w:val="0033291C"/>
    <w:rsid w:val="00342A14"/>
    <w:rsid w:val="00347F6B"/>
    <w:rsid w:val="003502D3"/>
    <w:rsid w:val="00361EA5"/>
    <w:rsid w:val="003639EF"/>
    <w:rsid w:val="00380FA8"/>
    <w:rsid w:val="0038157A"/>
    <w:rsid w:val="0040114B"/>
    <w:rsid w:val="00422040"/>
    <w:rsid w:val="00424CB3"/>
    <w:rsid w:val="004420C2"/>
    <w:rsid w:val="00445980"/>
    <w:rsid w:val="00450401"/>
    <w:rsid w:val="00457F8D"/>
    <w:rsid w:val="00477A97"/>
    <w:rsid w:val="00494C16"/>
    <w:rsid w:val="004A0BCE"/>
    <w:rsid w:val="004A0E7F"/>
    <w:rsid w:val="004B5B03"/>
    <w:rsid w:val="004C7170"/>
    <w:rsid w:val="004D2B12"/>
    <w:rsid w:val="004D6170"/>
    <w:rsid w:val="004E1640"/>
    <w:rsid w:val="004F1286"/>
    <w:rsid w:val="005205EE"/>
    <w:rsid w:val="0052730A"/>
    <w:rsid w:val="0054551C"/>
    <w:rsid w:val="00547478"/>
    <w:rsid w:val="0058096C"/>
    <w:rsid w:val="005833E1"/>
    <w:rsid w:val="005C2D66"/>
    <w:rsid w:val="005C4A49"/>
    <w:rsid w:val="005C7E95"/>
    <w:rsid w:val="005E2C23"/>
    <w:rsid w:val="00623D9A"/>
    <w:rsid w:val="006304B3"/>
    <w:rsid w:val="00642B26"/>
    <w:rsid w:val="00642C34"/>
    <w:rsid w:val="00657F0A"/>
    <w:rsid w:val="00666CF3"/>
    <w:rsid w:val="00685CBD"/>
    <w:rsid w:val="00687BC7"/>
    <w:rsid w:val="006911F9"/>
    <w:rsid w:val="006A442F"/>
    <w:rsid w:val="006B344E"/>
    <w:rsid w:val="006C5D38"/>
    <w:rsid w:val="007062E4"/>
    <w:rsid w:val="00724F77"/>
    <w:rsid w:val="007531C9"/>
    <w:rsid w:val="0075451A"/>
    <w:rsid w:val="007753F5"/>
    <w:rsid w:val="007763A2"/>
    <w:rsid w:val="00780C11"/>
    <w:rsid w:val="008015B9"/>
    <w:rsid w:val="0080758F"/>
    <w:rsid w:val="008143E4"/>
    <w:rsid w:val="008232F1"/>
    <w:rsid w:val="00845BE9"/>
    <w:rsid w:val="00851F60"/>
    <w:rsid w:val="008A17B7"/>
    <w:rsid w:val="008A40E9"/>
    <w:rsid w:val="008B5D96"/>
    <w:rsid w:val="008C5E2C"/>
    <w:rsid w:val="009170C2"/>
    <w:rsid w:val="009B25B2"/>
    <w:rsid w:val="009B2E7F"/>
    <w:rsid w:val="009C7B61"/>
    <w:rsid w:val="009F0ED1"/>
    <w:rsid w:val="00A01417"/>
    <w:rsid w:val="00A056FC"/>
    <w:rsid w:val="00A14E61"/>
    <w:rsid w:val="00A35546"/>
    <w:rsid w:val="00A70391"/>
    <w:rsid w:val="00A81DEA"/>
    <w:rsid w:val="00A82A77"/>
    <w:rsid w:val="00A861FA"/>
    <w:rsid w:val="00AA6BE8"/>
    <w:rsid w:val="00AC564D"/>
    <w:rsid w:val="00AF05FB"/>
    <w:rsid w:val="00B17320"/>
    <w:rsid w:val="00B53F3D"/>
    <w:rsid w:val="00B86B5F"/>
    <w:rsid w:val="00BA384E"/>
    <w:rsid w:val="00BC6A49"/>
    <w:rsid w:val="00BD61C0"/>
    <w:rsid w:val="00BF6607"/>
    <w:rsid w:val="00BF6DFE"/>
    <w:rsid w:val="00C06117"/>
    <w:rsid w:val="00C15130"/>
    <w:rsid w:val="00C82AFE"/>
    <w:rsid w:val="00C840DE"/>
    <w:rsid w:val="00CB1327"/>
    <w:rsid w:val="00CC1A41"/>
    <w:rsid w:val="00CE368B"/>
    <w:rsid w:val="00D22752"/>
    <w:rsid w:val="00D814FB"/>
    <w:rsid w:val="00D84121"/>
    <w:rsid w:val="00D95E3E"/>
    <w:rsid w:val="00DB5F4D"/>
    <w:rsid w:val="00DB6C8C"/>
    <w:rsid w:val="00DD4639"/>
    <w:rsid w:val="00DE1B27"/>
    <w:rsid w:val="00DF31F3"/>
    <w:rsid w:val="00E20C37"/>
    <w:rsid w:val="00E20EF1"/>
    <w:rsid w:val="00E273A6"/>
    <w:rsid w:val="00E31700"/>
    <w:rsid w:val="00E32203"/>
    <w:rsid w:val="00E47375"/>
    <w:rsid w:val="00E96223"/>
    <w:rsid w:val="00EB6A3B"/>
    <w:rsid w:val="00ED5A27"/>
    <w:rsid w:val="00ED79C9"/>
    <w:rsid w:val="00F05976"/>
    <w:rsid w:val="00F16E23"/>
    <w:rsid w:val="00F363C4"/>
    <w:rsid w:val="00F66A58"/>
    <w:rsid w:val="00F76F4E"/>
    <w:rsid w:val="00F868CE"/>
    <w:rsid w:val="00FB358D"/>
    <w:rsid w:val="00FD2D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BD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40"/>
    <w:pPr>
      <w:spacing w:after="0" w:line="240" w:lineRule="auto"/>
    </w:pPr>
    <w:rPr>
      <w:rFonts w:ascii="Verdana" w:eastAsia="Times New Roman" w:hAnsi="Verdana" w:cs="Times New Roman"/>
      <w:sz w:val="20"/>
      <w:szCs w:val="20"/>
      <w:lang w:eastAsia="pt-BR"/>
    </w:rPr>
  </w:style>
  <w:style w:type="paragraph" w:styleId="Heading4">
    <w:name w:val="heading 4"/>
    <w:basedOn w:val="Normal"/>
    <w:link w:val="Heading4Char"/>
    <w:uiPriority w:val="9"/>
    <w:qFormat/>
    <w:rsid w:val="0080758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062E4"/>
    <w:pPr>
      <w:jc w:val="both"/>
    </w:pPr>
    <w:rPr>
      <w:rFonts w:ascii="Century Schoolbook" w:eastAsiaTheme="minorHAnsi" w:hAnsi="Century Schoolbook" w:cstheme="minorBidi"/>
      <w:sz w:val="16"/>
      <w:szCs w:val="22"/>
    </w:rPr>
  </w:style>
  <w:style w:type="character" w:customStyle="1" w:styleId="FootnoteTextChar">
    <w:name w:val="Footnote Text Char"/>
    <w:basedOn w:val="DefaultParagraphFont"/>
    <w:link w:val="FootnoteText"/>
    <w:rsid w:val="007062E4"/>
    <w:rPr>
      <w:rFonts w:ascii="Century Schoolbook" w:hAnsi="Century Schoolbook"/>
      <w:sz w:val="16"/>
      <w:lang w:eastAsia="pt-BR"/>
    </w:rPr>
  </w:style>
  <w:style w:type="paragraph" w:customStyle="1" w:styleId="Estilo1">
    <w:name w:val="Estilo1"/>
    <w:basedOn w:val="FootnoteText"/>
    <w:autoRedefine/>
    <w:qFormat/>
    <w:rsid w:val="00A14E61"/>
    <w:rPr>
      <w:rFonts w:eastAsia="Times New Roman" w:cs="Times New Roman"/>
      <w:szCs w:val="20"/>
    </w:rPr>
  </w:style>
  <w:style w:type="paragraph" w:customStyle="1" w:styleId="franco">
    <w:name w:val="franco"/>
    <w:basedOn w:val="FootnoteText"/>
    <w:autoRedefine/>
    <w:qFormat/>
    <w:rsid w:val="00657F0A"/>
    <w:rPr>
      <w:rFonts w:eastAsia="Times New Roman" w:cs="Times New Roman"/>
      <w:szCs w:val="20"/>
    </w:rPr>
  </w:style>
  <w:style w:type="paragraph" w:customStyle="1" w:styleId="FRANCO0">
    <w:name w:val="FRANCO"/>
    <w:basedOn w:val="NormalWeb"/>
    <w:autoRedefine/>
    <w:qFormat/>
    <w:rsid w:val="005E2C23"/>
    <w:pPr>
      <w:spacing w:after="0" w:line="240" w:lineRule="auto"/>
      <w:jc w:val="both"/>
    </w:pPr>
    <w:rPr>
      <w:rFonts w:ascii="Century Schoolbook" w:eastAsia="Times New Roman" w:hAnsi="Century Schoolbook"/>
      <w:sz w:val="16"/>
      <w:lang w:eastAsia="pt-BR"/>
    </w:rPr>
  </w:style>
  <w:style w:type="paragraph" w:styleId="NormalWeb">
    <w:name w:val="Normal (Web)"/>
    <w:basedOn w:val="Normal"/>
    <w:uiPriority w:val="99"/>
    <w:unhideWhenUsed/>
    <w:rsid w:val="005E2C23"/>
    <w:pPr>
      <w:spacing w:after="200" w:line="276" w:lineRule="auto"/>
    </w:pPr>
    <w:rPr>
      <w:rFonts w:ascii="Times New Roman" w:eastAsiaTheme="minorHAnsi" w:hAnsi="Times New Roman"/>
      <w:sz w:val="24"/>
      <w:szCs w:val="24"/>
      <w:lang w:eastAsia="en-US"/>
    </w:rPr>
  </w:style>
  <w:style w:type="paragraph" w:styleId="Header">
    <w:name w:val="header"/>
    <w:basedOn w:val="Normal"/>
    <w:link w:val="HeaderChar"/>
    <w:uiPriority w:val="99"/>
    <w:unhideWhenUsed/>
    <w:rsid w:val="00121457"/>
    <w:pPr>
      <w:tabs>
        <w:tab w:val="center" w:pos="4252"/>
        <w:tab w:val="right" w:pos="8504"/>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1457"/>
  </w:style>
  <w:style w:type="paragraph" w:styleId="Footer">
    <w:name w:val="footer"/>
    <w:basedOn w:val="Normal"/>
    <w:link w:val="FooterChar"/>
    <w:uiPriority w:val="99"/>
    <w:unhideWhenUsed/>
    <w:rsid w:val="00121457"/>
    <w:pPr>
      <w:tabs>
        <w:tab w:val="center" w:pos="4252"/>
        <w:tab w:val="right" w:pos="8504"/>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1457"/>
  </w:style>
  <w:style w:type="table" w:styleId="TableGrid">
    <w:name w:val="Table Grid"/>
    <w:basedOn w:val="TableNormal"/>
    <w:uiPriority w:val="59"/>
    <w:rsid w:val="00FD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2DEE"/>
    <w:rPr>
      <w:color w:val="0000FF" w:themeColor="hyperlink"/>
      <w:u w:val="single"/>
    </w:rPr>
  </w:style>
  <w:style w:type="paragraph" w:styleId="BalloonText">
    <w:name w:val="Balloon Text"/>
    <w:basedOn w:val="Normal"/>
    <w:link w:val="BalloonTextChar"/>
    <w:uiPriority w:val="99"/>
    <w:semiHidden/>
    <w:unhideWhenUsed/>
    <w:rsid w:val="0006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7F"/>
    <w:rPr>
      <w:rFonts w:ascii="Lucida Grande" w:hAnsi="Lucida Grande" w:cs="Lucida Grande"/>
      <w:sz w:val="18"/>
      <w:szCs w:val="18"/>
    </w:rPr>
  </w:style>
  <w:style w:type="paragraph" w:styleId="ListParagraph">
    <w:name w:val="List Paragraph"/>
    <w:basedOn w:val="Normal"/>
    <w:uiPriority w:val="34"/>
    <w:qFormat/>
    <w:rsid w:val="00A82A77"/>
    <w:pPr>
      <w:ind w:left="720"/>
      <w:contextualSpacing/>
    </w:pPr>
  </w:style>
  <w:style w:type="character" w:customStyle="1" w:styleId="Heading4Char">
    <w:name w:val="Heading 4 Char"/>
    <w:basedOn w:val="DefaultParagraphFont"/>
    <w:link w:val="Heading4"/>
    <w:uiPriority w:val="9"/>
    <w:rsid w:val="0080758F"/>
    <w:rPr>
      <w:rFonts w:ascii="Times New Roman" w:eastAsia="Times New Roman" w:hAnsi="Times New Roman" w:cs="Times New Roman"/>
      <w:b/>
      <w:bCs/>
      <w:sz w:val="24"/>
      <w:szCs w:val="24"/>
      <w:lang w:eastAsia="pt-BR"/>
    </w:rPr>
  </w:style>
  <w:style w:type="paragraph" w:styleId="HTMLPreformatted">
    <w:name w:val="HTML Preformatted"/>
    <w:basedOn w:val="Normal"/>
    <w:link w:val="HTMLPreformattedChar"/>
    <w:uiPriority w:val="99"/>
    <w:semiHidden/>
    <w:unhideWhenUsed/>
    <w:rsid w:val="0080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0758F"/>
    <w:rPr>
      <w:rFonts w:ascii="Courier New" w:eastAsia="Times New Roman" w:hAnsi="Courier New" w:cs="Courier New"/>
      <w:sz w:val="20"/>
      <w:szCs w:val="20"/>
      <w:lang w:eastAsia="pt-BR"/>
    </w:rPr>
  </w:style>
  <w:style w:type="character" w:customStyle="1" w:styleId="highlightbrs">
    <w:name w:val="highlightbrs"/>
    <w:basedOn w:val="DefaultParagraphFont"/>
    <w:rsid w:val="0080758F"/>
  </w:style>
  <w:style w:type="character" w:styleId="FootnoteReference">
    <w:name w:val="footnote reference"/>
    <w:basedOn w:val="DefaultParagraphFont"/>
    <w:uiPriority w:val="99"/>
    <w:unhideWhenUsed/>
    <w:rsid w:val="00D227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40"/>
    <w:pPr>
      <w:spacing w:after="0" w:line="240" w:lineRule="auto"/>
    </w:pPr>
    <w:rPr>
      <w:rFonts w:ascii="Verdana" w:eastAsia="Times New Roman" w:hAnsi="Verdana" w:cs="Times New Roman"/>
      <w:sz w:val="20"/>
      <w:szCs w:val="20"/>
      <w:lang w:eastAsia="pt-BR"/>
    </w:rPr>
  </w:style>
  <w:style w:type="paragraph" w:styleId="Heading4">
    <w:name w:val="heading 4"/>
    <w:basedOn w:val="Normal"/>
    <w:link w:val="Heading4Char"/>
    <w:uiPriority w:val="9"/>
    <w:qFormat/>
    <w:rsid w:val="0080758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062E4"/>
    <w:pPr>
      <w:jc w:val="both"/>
    </w:pPr>
    <w:rPr>
      <w:rFonts w:ascii="Century Schoolbook" w:eastAsiaTheme="minorHAnsi" w:hAnsi="Century Schoolbook" w:cstheme="minorBidi"/>
      <w:sz w:val="16"/>
      <w:szCs w:val="22"/>
    </w:rPr>
  </w:style>
  <w:style w:type="character" w:customStyle="1" w:styleId="FootnoteTextChar">
    <w:name w:val="Footnote Text Char"/>
    <w:basedOn w:val="DefaultParagraphFont"/>
    <w:link w:val="FootnoteText"/>
    <w:rsid w:val="007062E4"/>
    <w:rPr>
      <w:rFonts w:ascii="Century Schoolbook" w:hAnsi="Century Schoolbook"/>
      <w:sz w:val="16"/>
      <w:lang w:eastAsia="pt-BR"/>
    </w:rPr>
  </w:style>
  <w:style w:type="paragraph" w:customStyle="1" w:styleId="Estilo1">
    <w:name w:val="Estilo1"/>
    <w:basedOn w:val="FootnoteText"/>
    <w:autoRedefine/>
    <w:qFormat/>
    <w:rsid w:val="00A14E61"/>
    <w:rPr>
      <w:rFonts w:eastAsia="Times New Roman" w:cs="Times New Roman"/>
      <w:szCs w:val="20"/>
    </w:rPr>
  </w:style>
  <w:style w:type="paragraph" w:customStyle="1" w:styleId="franco">
    <w:name w:val="franco"/>
    <w:basedOn w:val="FootnoteText"/>
    <w:autoRedefine/>
    <w:qFormat/>
    <w:rsid w:val="00657F0A"/>
    <w:rPr>
      <w:rFonts w:eastAsia="Times New Roman" w:cs="Times New Roman"/>
      <w:szCs w:val="20"/>
    </w:rPr>
  </w:style>
  <w:style w:type="paragraph" w:customStyle="1" w:styleId="FRANCO0">
    <w:name w:val="FRANCO"/>
    <w:basedOn w:val="NormalWeb"/>
    <w:autoRedefine/>
    <w:qFormat/>
    <w:rsid w:val="005E2C23"/>
    <w:pPr>
      <w:spacing w:after="0" w:line="240" w:lineRule="auto"/>
      <w:jc w:val="both"/>
    </w:pPr>
    <w:rPr>
      <w:rFonts w:ascii="Century Schoolbook" w:eastAsia="Times New Roman" w:hAnsi="Century Schoolbook"/>
      <w:sz w:val="16"/>
      <w:lang w:eastAsia="pt-BR"/>
    </w:rPr>
  </w:style>
  <w:style w:type="paragraph" w:styleId="NormalWeb">
    <w:name w:val="Normal (Web)"/>
    <w:basedOn w:val="Normal"/>
    <w:uiPriority w:val="99"/>
    <w:unhideWhenUsed/>
    <w:rsid w:val="005E2C23"/>
    <w:pPr>
      <w:spacing w:after="200" w:line="276" w:lineRule="auto"/>
    </w:pPr>
    <w:rPr>
      <w:rFonts w:ascii="Times New Roman" w:eastAsiaTheme="minorHAnsi" w:hAnsi="Times New Roman"/>
      <w:sz w:val="24"/>
      <w:szCs w:val="24"/>
      <w:lang w:eastAsia="en-US"/>
    </w:rPr>
  </w:style>
  <w:style w:type="paragraph" w:styleId="Header">
    <w:name w:val="header"/>
    <w:basedOn w:val="Normal"/>
    <w:link w:val="HeaderChar"/>
    <w:uiPriority w:val="99"/>
    <w:unhideWhenUsed/>
    <w:rsid w:val="00121457"/>
    <w:pPr>
      <w:tabs>
        <w:tab w:val="center" w:pos="4252"/>
        <w:tab w:val="right" w:pos="8504"/>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1457"/>
  </w:style>
  <w:style w:type="paragraph" w:styleId="Footer">
    <w:name w:val="footer"/>
    <w:basedOn w:val="Normal"/>
    <w:link w:val="FooterChar"/>
    <w:uiPriority w:val="99"/>
    <w:unhideWhenUsed/>
    <w:rsid w:val="00121457"/>
    <w:pPr>
      <w:tabs>
        <w:tab w:val="center" w:pos="4252"/>
        <w:tab w:val="right" w:pos="8504"/>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1457"/>
  </w:style>
  <w:style w:type="table" w:styleId="TableGrid">
    <w:name w:val="Table Grid"/>
    <w:basedOn w:val="TableNormal"/>
    <w:uiPriority w:val="59"/>
    <w:rsid w:val="00FD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2DEE"/>
    <w:rPr>
      <w:color w:val="0000FF" w:themeColor="hyperlink"/>
      <w:u w:val="single"/>
    </w:rPr>
  </w:style>
  <w:style w:type="paragraph" w:styleId="BalloonText">
    <w:name w:val="Balloon Text"/>
    <w:basedOn w:val="Normal"/>
    <w:link w:val="BalloonTextChar"/>
    <w:uiPriority w:val="99"/>
    <w:semiHidden/>
    <w:unhideWhenUsed/>
    <w:rsid w:val="00062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57F"/>
    <w:rPr>
      <w:rFonts w:ascii="Lucida Grande" w:hAnsi="Lucida Grande" w:cs="Lucida Grande"/>
      <w:sz w:val="18"/>
      <w:szCs w:val="18"/>
    </w:rPr>
  </w:style>
  <w:style w:type="paragraph" w:styleId="ListParagraph">
    <w:name w:val="List Paragraph"/>
    <w:basedOn w:val="Normal"/>
    <w:uiPriority w:val="34"/>
    <w:qFormat/>
    <w:rsid w:val="00A82A77"/>
    <w:pPr>
      <w:ind w:left="720"/>
      <w:contextualSpacing/>
    </w:pPr>
  </w:style>
  <w:style w:type="character" w:customStyle="1" w:styleId="Heading4Char">
    <w:name w:val="Heading 4 Char"/>
    <w:basedOn w:val="DefaultParagraphFont"/>
    <w:link w:val="Heading4"/>
    <w:uiPriority w:val="9"/>
    <w:rsid w:val="0080758F"/>
    <w:rPr>
      <w:rFonts w:ascii="Times New Roman" w:eastAsia="Times New Roman" w:hAnsi="Times New Roman" w:cs="Times New Roman"/>
      <w:b/>
      <w:bCs/>
      <w:sz w:val="24"/>
      <w:szCs w:val="24"/>
      <w:lang w:eastAsia="pt-BR"/>
    </w:rPr>
  </w:style>
  <w:style w:type="paragraph" w:styleId="HTMLPreformatted">
    <w:name w:val="HTML Preformatted"/>
    <w:basedOn w:val="Normal"/>
    <w:link w:val="HTMLPreformattedChar"/>
    <w:uiPriority w:val="99"/>
    <w:semiHidden/>
    <w:unhideWhenUsed/>
    <w:rsid w:val="0080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0758F"/>
    <w:rPr>
      <w:rFonts w:ascii="Courier New" w:eastAsia="Times New Roman" w:hAnsi="Courier New" w:cs="Courier New"/>
      <w:sz w:val="20"/>
      <w:szCs w:val="20"/>
      <w:lang w:eastAsia="pt-BR"/>
    </w:rPr>
  </w:style>
  <w:style w:type="character" w:customStyle="1" w:styleId="highlightbrs">
    <w:name w:val="highlightbrs"/>
    <w:basedOn w:val="DefaultParagraphFont"/>
    <w:rsid w:val="0080758F"/>
  </w:style>
  <w:style w:type="character" w:styleId="FootnoteReference">
    <w:name w:val="footnote reference"/>
    <w:basedOn w:val="DefaultParagraphFont"/>
    <w:uiPriority w:val="99"/>
    <w:unhideWhenUsed/>
    <w:rsid w:val="00D22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20">
      <w:bodyDiv w:val="1"/>
      <w:marLeft w:val="0"/>
      <w:marRight w:val="0"/>
      <w:marTop w:val="0"/>
      <w:marBottom w:val="0"/>
      <w:divBdr>
        <w:top w:val="none" w:sz="0" w:space="0" w:color="auto"/>
        <w:left w:val="none" w:sz="0" w:space="0" w:color="auto"/>
        <w:bottom w:val="none" w:sz="0" w:space="0" w:color="auto"/>
        <w:right w:val="none" w:sz="0" w:space="0" w:color="auto"/>
      </w:divBdr>
    </w:div>
    <w:div w:id="233394858">
      <w:bodyDiv w:val="1"/>
      <w:marLeft w:val="0"/>
      <w:marRight w:val="0"/>
      <w:marTop w:val="0"/>
      <w:marBottom w:val="0"/>
      <w:divBdr>
        <w:top w:val="none" w:sz="0" w:space="0" w:color="auto"/>
        <w:left w:val="none" w:sz="0" w:space="0" w:color="auto"/>
        <w:bottom w:val="none" w:sz="0" w:space="0" w:color="auto"/>
        <w:right w:val="none" w:sz="0" w:space="0" w:color="auto"/>
      </w:divBdr>
    </w:div>
    <w:div w:id="296838925">
      <w:bodyDiv w:val="1"/>
      <w:marLeft w:val="0"/>
      <w:marRight w:val="0"/>
      <w:marTop w:val="0"/>
      <w:marBottom w:val="0"/>
      <w:divBdr>
        <w:top w:val="none" w:sz="0" w:space="0" w:color="auto"/>
        <w:left w:val="none" w:sz="0" w:space="0" w:color="auto"/>
        <w:bottom w:val="none" w:sz="0" w:space="0" w:color="auto"/>
        <w:right w:val="none" w:sz="0" w:space="0" w:color="auto"/>
      </w:divBdr>
      <w:divsChild>
        <w:div w:id="508758304">
          <w:marLeft w:val="0"/>
          <w:marRight w:val="0"/>
          <w:marTop w:val="0"/>
          <w:marBottom w:val="0"/>
          <w:divBdr>
            <w:top w:val="none" w:sz="0" w:space="0" w:color="auto"/>
            <w:left w:val="none" w:sz="0" w:space="0" w:color="auto"/>
            <w:bottom w:val="none" w:sz="0" w:space="0" w:color="auto"/>
            <w:right w:val="none" w:sz="0" w:space="0" w:color="auto"/>
          </w:divBdr>
          <w:divsChild>
            <w:div w:id="50428290">
              <w:marLeft w:val="0"/>
              <w:marRight w:val="0"/>
              <w:marTop w:val="0"/>
              <w:marBottom w:val="0"/>
              <w:divBdr>
                <w:top w:val="none" w:sz="0" w:space="0" w:color="auto"/>
                <w:left w:val="none" w:sz="0" w:space="0" w:color="auto"/>
                <w:bottom w:val="none" w:sz="0" w:space="0" w:color="auto"/>
                <w:right w:val="none" w:sz="0" w:space="0" w:color="auto"/>
              </w:divBdr>
            </w:div>
          </w:divsChild>
        </w:div>
        <w:div w:id="603150275">
          <w:marLeft w:val="0"/>
          <w:marRight w:val="0"/>
          <w:marTop w:val="0"/>
          <w:marBottom w:val="0"/>
          <w:divBdr>
            <w:top w:val="none" w:sz="0" w:space="0" w:color="auto"/>
            <w:left w:val="none" w:sz="0" w:space="0" w:color="auto"/>
            <w:bottom w:val="none" w:sz="0" w:space="0" w:color="auto"/>
            <w:right w:val="none" w:sz="0" w:space="0" w:color="auto"/>
          </w:divBdr>
        </w:div>
        <w:div w:id="1116751044">
          <w:marLeft w:val="0"/>
          <w:marRight w:val="0"/>
          <w:marTop w:val="0"/>
          <w:marBottom w:val="0"/>
          <w:divBdr>
            <w:top w:val="none" w:sz="0" w:space="0" w:color="auto"/>
            <w:left w:val="none" w:sz="0" w:space="0" w:color="auto"/>
            <w:bottom w:val="none" w:sz="0" w:space="0" w:color="auto"/>
            <w:right w:val="none" w:sz="0" w:space="0" w:color="auto"/>
          </w:divBdr>
          <w:divsChild>
            <w:div w:id="1713915861">
              <w:marLeft w:val="0"/>
              <w:marRight w:val="0"/>
              <w:marTop w:val="0"/>
              <w:marBottom w:val="0"/>
              <w:divBdr>
                <w:top w:val="none" w:sz="0" w:space="0" w:color="auto"/>
                <w:left w:val="none" w:sz="0" w:space="0" w:color="auto"/>
                <w:bottom w:val="none" w:sz="0" w:space="0" w:color="auto"/>
                <w:right w:val="none" w:sz="0" w:space="0" w:color="auto"/>
              </w:divBdr>
            </w:div>
          </w:divsChild>
        </w:div>
        <w:div w:id="1028991553">
          <w:marLeft w:val="0"/>
          <w:marRight w:val="0"/>
          <w:marTop w:val="0"/>
          <w:marBottom w:val="0"/>
          <w:divBdr>
            <w:top w:val="none" w:sz="0" w:space="0" w:color="auto"/>
            <w:left w:val="none" w:sz="0" w:space="0" w:color="auto"/>
            <w:bottom w:val="none" w:sz="0" w:space="0" w:color="auto"/>
            <w:right w:val="none" w:sz="0" w:space="0" w:color="auto"/>
          </w:divBdr>
        </w:div>
        <w:div w:id="470949827">
          <w:marLeft w:val="0"/>
          <w:marRight w:val="0"/>
          <w:marTop w:val="0"/>
          <w:marBottom w:val="0"/>
          <w:divBdr>
            <w:top w:val="none" w:sz="0" w:space="0" w:color="auto"/>
            <w:left w:val="none" w:sz="0" w:space="0" w:color="auto"/>
            <w:bottom w:val="none" w:sz="0" w:space="0" w:color="auto"/>
            <w:right w:val="none" w:sz="0" w:space="0" w:color="auto"/>
          </w:divBdr>
        </w:div>
        <w:div w:id="327487622">
          <w:marLeft w:val="0"/>
          <w:marRight w:val="0"/>
          <w:marTop w:val="0"/>
          <w:marBottom w:val="0"/>
          <w:divBdr>
            <w:top w:val="none" w:sz="0" w:space="0" w:color="auto"/>
            <w:left w:val="none" w:sz="0" w:space="0" w:color="auto"/>
            <w:bottom w:val="none" w:sz="0" w:space="0" w:color="auto"/>
            <w:right w:val="none" w:sz="0" w:space="0" w:color="auto"/>
          </w:divBdr>
        </w:div>
        <w:div w:id="2030333300">
          <w:marLeft w:val="0"/>
          <w:marRight w:val="0"/>
          <w:marTop w:val="0"/>
          <w:marBottom w:val="0"/>
          <w:divBdr>
            <w:top w:val="none" w:sz="0" w:space="0" w:color="auto"/>
            <w:left w:val="none" w:sz="0" w:space="0" w:color="auto"/>
            <w:bottom w:val="none" w:sz="0" w:space="0" w:color="auto"/>
            <w:right w:val="none" w:sz="0" w:space="0" w:color="auto"/>
          </w:divBdr>
        </w:div>
        <w:div w:id="640429896">
          <w:marLeft w:val="0"/>
          <w:marRight w:val="0"/>
          <w:marTop w:val="0"/>
          <w:marBottom w:val="0"/>
          <w:divBdr>
            <w:top w:val="none" w:sz="0" w:space="0" w:color="auto"/>
            <w:left w:val="none" w:sz="0" w:space="0" w:color="auto"/>
            <w:bottom w:val="none" w:sz="0" w:space="0" w:color="auto"/>
            <w:right w:val="none" w:sz="0" w:space="0" w:color="auto"/>
          </w:divBdr>
        </w:div>
        <w:div w:id="2007439692">
          <w:marLeft w:val="0"/>
          <w:marRight w:val="0"/>
          <w:marTop w:val="0"/>
          <w:marBottom w:val="0"/>
          <w:divBdr>
            <w:top w:val="none" w:sz="0" w:space="0" w:color="auto"/>
            <w:left w:val="none" w:sz="0" w:space="0" w:color="auto"/>
            <w:bottom w:val="none" w:sz="0" w:space="0" w:color="auto"/>
            <w:right w:val="none" w:sz="0" w:space="0" w:color="auto"/>
          </w:divBdr>
        </w:div>
        <w:div w:id="74861023">
          <w:marLeft w:val="0"/>
          <w:marRight w:val="0"/>
          <w:marTop w:val="0"/>
          <w:marBottom w:val="0"/>
          <w:divBdr>
            <w:top w:val="none" w:sz="0" w:space="0" w:color="auto"/>
            <w:left w:val="none" w:sz="0" w:space="0" w:color="auto"/>
            <w:bottom w:val="none" w:sz="0" w:space="0" w:color="auto"/>
            <w:right w:val="none" w:sz="0" w:space="0" w:color="auto"/>
          </w:divBdr>
        </w:div>
      </w:divsChild>
    </w:div>
    <w:div w:id="859125140">
      <w:bodyDiv w:val="1"/>
      <w:marLeft w:val="0"/>
      <w:marRight w:val="0"/>
      <w:marTop w:val="0"/>
      <w:marBottom w:val="0"/>
      <w:divBdr>
        <w:top w:val="none" w:sz="0" w:space="0" w:color="auto"/>
        <w:left w:val="none" w:sz="0" w:space="0" w:color="auto"/>
        <w:bottom w:val="none" w:sz="0" w:space="0" w:color="auto"/>
        <w:right w:val="none" w:sz="0" w:space="0" w:color="auto"/>
      </w:divBdr>
    </w:div>
    <w:div w:id="978337436">
      <w:bodyDiv w:val="1"/>
      <w:marLeft w:val="0"/>
      <w:marRight w:val="0"/>
      <w:marTop w:val="0"/>
      <w:marBottom w:val="0"/>
      <w:divBdr>
        <w:top w:val="none" w:sz="0" w:space="0" w:color="auto"/>
        <w:left w:val="none" w:sz="0" w:space="0" w:color="auto"/>
        <w:bottom w:val="none" w:sz="0" w:space="0" w:color="auto"/>
        <w:right w:val="none" w:sz="0" w:space="0" w:color="auto"/>
      </w:divBdr>
    </w:div>
    <w:div w:id="1251550716">
      <w:bodyDiv w:val="1"/>
      <w:marLeft w:val="0"/>
      <w:marRight w:val="0"/>
      <w:marTop w:val="0"/>
      <w:marBottom w:val="0"/>
      <w:divBdr>
        <w:top w:val="none" w:sz="0" w:space="0" w:color="auto"/>
        <w:left w:val="none" w:sz="0" w:space="0" w:color="auto"/>
        <w:bottom w:val="none" w:sz="0" w:space="0" w:color="auto"/>
        <w:right w:val="none" w:sz="0" w:space="0" w:color="auto"/>
      </w:divBdr>
    </w:div>
    <w:div w:id="1273902321">
      <w:bodyDiv w:val="1"/>
      <w:marLeft w:val="0"/>
      <w:marRight w:val="0"/>
      <w:marTop w:val="0"/>
      <w:marBottom w:val="0"/>
      <w:divBdr>
        <w:top w:val="none" w:sz="0" w:space="0" w:color="auto"/>
        <w:left w:val="none" w:sz="0" w:space="0" w:color="auto"/>
        <w:bottom w:val="none" w:sz="0" w:space="0" w:color="auto"/>
        <w:right w:val="none" w:sz="0" w:space="0" w:color="auto"/>
      </w:divBdr>
    </w:div>
    <w:div w:id="1381973775">
      <w:bodyDiv w:val="1"/>
      <w:marLeft w:val="0"/>
      <w:marRight w:val="0"/>
      <w:marTop w:val="0"/>
      <w:marBottom w:val="0"/>
      <w:divBdr>
        <w:top w:val="none" w:sz="0" w:space="0" w:color="auto"/>
        <w:left w:val="none" w:sz="0" w:space="0" w:color="auto"/>
        <w:bottom w:val="none" w:sz="0" w:space="0" w:color="auto"/>
        <w:right w:val="none" w:sz="0" w:space="0" w:color="auto"/>
      </w:divBdr>
      <w:divsChild>
        <w:div w:id="1185443796">
          <w:marLeft w:val="0"/>
          <w:marRight w:val="0"/>
          <w:marTop w:val="0"/>
          <w:marBottom w:val="0"/>
          <w:divBdr>
            <w:top w:val="none" w:sz="0" w:space="0" w:color="auto"/>
            <w:left w:val="none" w:sz="0" w:space="0" w:color="auto"/>
            <w:bottom w:val="none" w:sz="0" w:space="0" w:color="auto"/>
            <w:right w:val="none" w:sz="0" w:space="0" w:color="auto"/>
          </w:divBdr>
          <w:divsChild>
            <w:div w:id="1141534262">
              <w:marLeft w:val="0"/>
              <w:marRight w:val="0"/>
              <w:marTop w:val="0"/>
              <w:marBottom w:val="0"/>
              <w:divBdr>
                <w:top w:val="none" w:sz="0" w:space="0" w:color="auto"/>
                <w:left w:val="none" w:sz="0" w:space="0" w:color="auto"/>
                <w:bottom w:val="none" w:sz="0" w:space="0" w:color="auto"/>
                <w:right w:val="none" w:sz="0" w:space="0" w:color="auto"/>
              </w:divBdr>
            </w:div>
          </w:divsChild>
        </w:div>
        <w:div w:id="807670004">
          <w:marLeft w:val="0"/>
          <w:marRight w:val="0"/>
          <w:marTop w:val="0"/>
          <w:marBottom w:val="0"/>
          <w:divBdr>
            <w:top w:val="none" w:sz="0" w:space="0" w:color="auto"/>
            <w:left w:val="none" w:sz="0" w:space="0" w:color="auto"/>
            <w:bottom w:val="none" w:sz="0" w:space="0" w:color="auto"/>
            <w:right w:val="none" w:sz="0" w:space="0" w:color="auto"/>
          </w:divBdr>
        </w:div>
        <w:div w:id="2095852510">
          <w:marLeft w:val="0"/>
          <w:marRight w:val="0"/>
          <w:marTop w:val="0"/>
          <w:marBottom w:val="0"/>
          <w:divBdr>
            <w:top w:val="none" w:sz="0" w:space="0" w:color="auto"/>
            <w:left w:val="none" w:sz="0" w:space="0" w:color="auto"/>
            <w:bottom w:val="none" w:sz="0" w:space="0" w:color="auto"/>
            <w:right w:val="none" w:sz="0" w:space="0" w:color="auto"/>
          </w:divBdr>
        </w:div>
        <w:div w:id="1991129093">
          <w:marLeft w:val="0"/>
          <w:marRight w:val="0"/>
          <w:marTop w:val="0"/>
          <w:marBottom w:val="0"/>
          <w:divBdr>
            <w:top w:val="none" w:sz="0" w:space="0" w:color="auto"/>
            <w:left w:val="none" w:sz="0" w:space="0" w:color="auto"/>
            <w:bottom w:val="none" w:sz="0" w:space="0" w:color="auto"/>
            <w:right w:val="none" w:sz="0" w:space="0" w:color="auto"/>
          </w:divBdr>
        </w:div>
        <w:div w:id="1086656783">
          <w:marLeft w:val="0"/>
          <w:marRight w:val="0"/>
          <w:marTop w:val="0"/>
          <w:marBottom w:val="0"/>
          <w:divBdr>
            <w:top w:val="none" w:sz="0" w:space="0" w:color="auto"/>
            <w:left w:val="none" w:sz="0" w:space="0" w:color="auto"/>
            <w:bottom w:val="none" w:sz="0" w:space="0" w:color="auto"/>
            <w:right w:val="none" w:sz="0" w:space="0" w:color="auto"/>
          </w:divBdr>
        </w:div>
        <w:div w:id="2026209001">
          <w:marLeft w:val="0"/>
          <w:marRight w:val="0"/>
          <w:marTop w:val="0"/>
          <w:marBottom w:val="0"/>
          <w:divBdr>
            <w:top w:val="none" w:sz="0" w:space="0" w:color="auto"/>
            <w:left w:val="none" w:sz="0" w:space="0" w:color="auto"/>
            <w:bottom w:val="none" w:sz="0" w:space="0" w:color="auto"/>
            <w:right w:val="none" w:sz="0" w:space="0" w:color="auto"/>
          </w:divBdr>
        </w:div>
        <w:div w:id="1867519308">
          <w:marLeft w:val="0"/>
          <w:marRight w:val="0"/>
          <w:marTop w:val="0"/>
          <w:marBottom w:val="0"/>
          <w:divBdr>
            <w:top w:val="none" w:sz="0" w:space="0" w:color="auto"/>
            <w:left w:val="none" w:sz="0" w:space="0" w:color="auto"/>
            <w:bottom w:val="none" w:sz="0" w:space="0" w:color="auto"/>
            <w:right w:val="none" w:sz="0" w:space="0" w:color="auto"/>
          </w:divBdr>
        </w:div>
        <w:div w:id="267348551">
          <w:marLeft w:val="0"/>
          <w:marRight w:val="0"/>
          <w:marTop w:val="0"/>
          <w:marBottom w:val="0"/>
          <w:divBdr>
            <w:top w:val="none" w:sz="0" w:space="0" w:color="auto"/>
            <w:left w:val="none" w:sz="0" w:space="0" w:color="auto"/>
            <w:bottom w:val="none" w:sz="0" w:space="0" w:color="auto"/>
            <w:right w:val="none" w:sz="0" w:space="0" w:color="auto"/>
          </w:divBdr>
        </w:div>
      </w:divsChild>
    </w:div>
    <w:div w:id="1491367587">
      <w:bodyDiv w:val="1"/>
      <w:marLeft w:val="0"/>
      <w:marRight w:val="0"/>
      <w:marTop w:val="0"/>
      <w:marBottom w:val="0"/>
      <w:divBdr>
        <w:top w:val="none" w:sz="0" w:space="0" w:color="auto"/>
        <w:left w:val="none" w:sz="0" w:space="0" w:color="auto"/>
        <w:bottom w:val="none" w:sz="0" w:space="0" w:color="auto"/>
        <w:right w:val="none" w:sz="0" w:space="0" w:color="auto"/>
      </w:divBdr>
    </w:div>
    <w:div w:id="15515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6FF55-303F-154F-8CF3-36A63851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10</Pages>
  <Words>3230</Words>
  <Characters>18412</Characters>
  <Application>Microsoft Macintosh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ADONILSON FRANCO</cp:lastModifiedBy>
  <cp:revision>17</cp:revision>
  <cp:lastPrinted>2014-05-07T16:40:00Z</cp:lastPrinted>
  <dcterms:created xsi:type="dcterms:W3CDTF">2016-01-13T13:48:00Z</dcterms:created>
  <dcterms:modified xsi:type="dcterms:W3CDTF">2016-01-13T19:03:00Z</dcterms:modified>
</cp:coreProperties>
</file>